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EDA19" w14:textId="77777777" w:rsidR="003C06C7" w:rsidRDefault="005C2F4B" w:rsidP="003C06C7">
      <w:pPr>
        <w:spacing w:after="0"/>
        <w:ind w:right="113"/>
        <w:jc w:val="center"/>
        <w:rPr>
          <w:rFonts w:ascii="Times New Roman" w:hAnsi="Times New Roman" w:cs="Times New Roman"/>
          <w:b/>
          <w:sz w:val="24"/>
        </w:rPr>
      </w:pPr>
      <w:r w:rsidRPr="00EC5194">
        <w:rPr>
          <w:rFonts w:ascii="Times New Roman" w:hAnsi="Times New Roman" w:cs="Times New Roman"/>
          <w:b/>
          <w:sz w:val="24"/>
        </w:rPr>
        <w:t xml:space="preserve"> </w:t>
      </w:r>
    </w:p>
    <w:p w14:paraId="5721D902" w14:textId="77777777" w:rsidR="003C06C7" w:rsidRDefault="003C06C7" w:rsidP="003C06C7">
      <w:pPr>
        <w:spacing w:after="0"/>
        <w:ind w:right="113"/>
        <w:jc w:val="center"/>
        <w:rPr>
          <w:rFonts w:ascii="Times New Roman" w:hAnsi="Times New Roman" w:cs="Times New Roman"/>
          <w:b/>
          <w:sz w:val="24"/>
        </w:rPr>
      </w:pPr>
    </w:p>
    <w:p w14:paraId="488EF918" w14:textId="77777777" w:rsidR="003C06C7" w:rsidRDefault="003C06C7" w:rsidP="003C06C7">
      <w:pPr>
        <w:spacing w:after="0"/>
        <w:ind w:right="113"/>
        <w:jc w:val="center"/>
        <w:rPr>
          <w:rFonts w:ascii="Times New Roman" w:hAnsi="Times New Roman" w:cs="Times New Roman"/>
          <w:b/>
          <w:sz w:val="24"/>
        </w:rPr>
      </w:pPr>
    </w:p>
    <w:p w14:paraId="2FF6DF9E" w14:textId="77777777" w:rsidR="003C06C7" w:rsidRDefault="003C06C7" w:rsidP="003C06C7">
      <w:pPr>
        <w:spacing w:after="0"/>
        <w:ind w:right="113"/>
        <w:jc w:val="center"/>
        <w:rPr>
          <w:rFonts w:ascii="Times New Roman" w:hAnsi="Times New Roman" w:cs="Times New Roman"/>
          <w:b/>
          <w:sz w:val="24"/>
        </w:rPr>
      </w:pPr>
    </w:p>
    <w:p w14:paraId="2CED7855" w14:textId="77777777" w:rsidR="00411D7A" w:rsidRPr="00EC5194" w:rsidRDefault="00411D7A" w:rsidP="003C06C7">
      <w:pPr>
        <w:spacing w:after="0"/>
        <w:ind w:right="113"/>
        <w:jc w:val="center"/>
        <w:rPr>
          <w:rFonts w:ascii="Times New Roman" w:eastAsia="Arial" w:hAnsi="Times New Roman" w:cs="Times New Roman"/>
          <w:sz w:val="52"/>
          <w:szCs w:val="52"/>
        </w:rPr>
      </w:pPr>
      <w:r w:rsidRPr="00EC5194">
        <w:rPr>
          <w:rFonts w:ascii="Times New Roman" w:eastAsia="Arial" w:hAnsi="Times New Roman" w:cs="Times New Roman"/>
          <w:b/>
          <w:bCs/>
          <w:color w:val="212121"/>
          <w:sz w:val="52"/>
          <w:szCs w:val="52"/>
        </w:rPr>
        <w:t>Rokovací</w:t>
      </w:r>
      <w:r w:rsidRPr="00EC5194">
        <w:rPr>
          <w:rFonts w:ascii="Times New Roman" w:eastAsia="Arial" w:hAnsi="Times New Roman" w:cs="Times New Roman"/>
          <w:b/>
          <w:bCs/>
          <w:color w:val="212121"/>
          <w:spacing w:val="51"/>
          <w:sz w:val="52"/>
          <w:szCs w:val="52"/>
        </w:rPr>
        <w:t xml:space="preserve"> </w:t>
      </w:r>
      <w:r w:rsidRPr="00EC5194">
        <w:rPr>
          <w:rFonts w:ascii="Times New Roman" w:eastAsia="Arial" w:hAnsi="Times New Roman" w:cs="Times New Roman"/>
          <w:b/>
          <w:bCs/>
          <w:color w:val="212121"/>
          <w:sz w:val="52"/>
          <w:szCs w:val="52"/>
        </w:rPr>
        <w:t>poriadok</w:t>
      </w:r>
    </w:p>
    <w:p w14:paraId="2D2E16BE"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5C2B43E6" w14:textId="77777777" w:rsidR="00411D7A" w:rsidRPr="00EC5194" w:rsidRDefault="00411D7A" w:rsidP="003C06C7">
      <w:pPr>
        <w:spacing w:after="0" w:line="260" w:lineRule="exact"/>
        <w:ind w:right="113"/>
        <w:jc w:val="center"/>
        <w:rPr>
          <w:rFonts w:ascii="Times New Roman" w:hAnsi="Times New Roman" w:cs="Times New Roman"/>
          <w:sz w:val="26"/>
          <w:szCs w:val="26"/>
        </w:rPr>
      </w:pPr>
    </w:p>
    <w:p w14:paraId="02D8B656" w14:textId="77777777" w:rsidR="00411D7A" w:rsidRPr="00EC5194" w:rsidRDefault="00411D7A" w:rsidP="003C06C7">
      <w:pPr>
        <w:spacing w:after="0" w:line="260" w:lineRule="exact"/>
        <w:ind w:right="113"/>
        <w:jc w:val="center"/>
        <w:rPr>
          <w:rFonts w:ascii="Times New Roman" w:hAnsi="Times New Roman" w:cs="Times New Roman"/>
          <w:sz w:val="26"/>
          <w:szCs w:val="26"/>
        </w:rPr>
      </w:pPr>
    </w:p>
    <w:p w14:paraId="4ED7A44F" w14:textId="77777777" w:rsidR="00411D7A" w:rsidRPr="00EC5194" w:rsidRDefault="00411D7A" w:rsidP="003C06C7">
      <w:pPr>
        <w:spacing w:after="0" w:line="260" w:lineRule="exact"/>
        <w:ind w:right="113"/>
        <w:jc w:val="center"/>
        <w:rPr>
          <w:rFonts w:ascii="Times New Roman" w:hAnsi="Times New Roman" w:cs="Times New Roman"/>
          <w:sz w:val="26"/>
          <w:szCs w:val="26"/>
        </w:rPr>
      </w:pPr>
    </w:p>
    <w:p w14:paraId="41C744D7" w14:textId="77777777" w:rsidR="00411D7A" w:rsidRDefault="00411D7A" w:rsidP="003C06C7">
      <w:pPr>
        <w:spacing w:after="0" w:line="260" w:lineRule="exact"/>
        <w:ind w:right="113"/>
        <w:jc w:val="center"/>
        <w:rPr>
          <w:rFonts w:ascii="Times New Roman" w:hAnsi="Times New Roman" w:cs="Times New Roman"/>
          <w:sz w:val="26"/>
          <w:szCs w:val="26"/>
        </w:rPr>
      </w:pPr>
    </w:p>
    <w:p w14:paraId="14A8CA4B" w14:textId="77777777" w:rsidR="003C06C7" w:rsidRDefault="003C06C7" w:rsidP="003C06C7">
      <w:pPr>
        <w:spacing w:after="0" w:line="260" w:lineRule="exact"/>
        <w:ind w:right="113"/>
        <w:jc w:val="center"/>
        <w:rPr>
          <w:rFonts w:ascii="Times New Roman" w:hAnsi="Times New Roman" w:cs="Times New Roman"/>
          <w:sz w:val="26"/>
          <w:szCs w:val="26"/>
        </w:rPr>
      </w:pPr>
    </w:p>
    <w:p w14:paraId="2A655F16" w14:textId="77777777" w:rsidR="003C06C7" w:rsidRDefault="003C06C7" w:rsidP="003C06C7">
      <w:pPr>
        <w:spacing w:after="0" w:line="260" w:lineRule="exact"/>
        <w:ind w:right="113"/>
        <w:jc w:val="center"/>
        <w:rPr>
          <w:rFonts w:ascii="Times New Roman" w:hAnsi="Times New Roman" w:cs="Times New Roman"/>
          <w:sz w:val="26"/>
          <w:szCs w:val="26"/>
        </w:rPr>
      </w:pPr>
    </w:p>
    <w:p w14:paraId="0DFD9F8B" w14:textId="77777777" w:rsidR="003C06C7" w:rsidRDefault="003C06C7" w:rsidP="003C06C7">
      <w:pPr>
        <w:spacing w:after="0" w:line="260" w:lineRule="exact"/>
        <w:ind w:right="113"/>
        <w:jc w:val="center"/>
        <w:rPr>
          <w:rFonts w:ascii="Times New Roman" w:hAnsi="Times New Roman" w:cs="Times New Roman"/>
          <w:sz w:val="26"/>
          <w:szCs w:val="26"/>
        </w:rPr>
      </w:pPr>
    </w:p>
    <w:p w14:paraId="55DE5516" w14:textId="77777777" w:rsidR="003C06C7" w:rsidRDefault="003C06C7" w:rsidP="003C06C7">
      <w:pPr>
        <w:spacing w:after="0" w:line="260" w:lineRule="exact"/>
        <w:ind w:right="113"/>
        <w:jc w:val="center"/>
        <w:rPr>
          <w:rFonts w:ascii="Times New Roman" w:hAnsi="Times New Roman" w:cs="Times New Roman"/>
          <w:sz w:val="26"/>
          <w:szCs w:val="26"/>
        </w:rPr>
      </w:pPr>
    </w:p>
    <w:p w14:paraId="4D7312AB" w14:textId="77777777" w:rsidR="003C06C7" w:rsidRPr="00EC5194" w:rsidRDefault="003C06C7" w:rsidP="003C06C7">
      <w:pPr>
        <w:spacing w:after="0" w:line="260" w:lineRule="exact"/>
        <w:ind w:right="113"/>
        <w:jc w:val="center"/>
        <w:rPr>
          <w:rFonts w:ascii="Times New Roman" w:hAnsi="Times New Roman" w:cs="Times New Roman"/>
          <w:sz w:val="26"/>
          <w:szCs w:val="26"/>
        </w:rPr>
      </w:pPr>
    </w:p>
    <w:p w14:paraId="52A0169E" w14:textId="77777777" w:rsidR="00411D7A" w:rsidRPr="00EC5194" w:rsidRDefault="00411D7A" w:rsidP="003C06C7">
      <w:pPr>
        <w:spacing w:after="0" w:line="260" w:lineRule="exact"/>
        <w:ind w:right="113"/>
        <w:jc w:val="center"/>
        <w:rPr>
          <w:rFonts w:ascii="Times New Roman" w:hAnsi="Times New Roman" w:cs="Times New Roman"/>
          <w:sz w:val="26"/>
          <w:szCs w:val="26"/>
        </w:rPr>
      </w:pPr>
    </w:p>
    <w:p w14:paraId="629085D6" w14:textId="77777777" w:rsidR="00411D7A" w:rsidRPr="00EC5194" w:rsidRDefault="00411D7A" w:rsidP="003C06C7">
      <w:pPr>
        <w:pStyle w:val="Nadpis11"/>
        <w:ind w:left="0" w:right="113"/>
        <w:jc w:val="center"/>
        <w:rPr>
          <w:rFonts w:ascii="Times New Roman" w:hAnsi="Times New Roman" w:cs="Times New Roman"/>
          <w:color w:val="212121"/>
          <w:w w:val="90"/>
          <w:sz w:val="36"/>
          <w:szCs w:val="36"/>
        </w:rPr>
      </w:pPr>
      <w:r w:rsidRPr="00EC5194">
        <w:rPr>
          <w:rFonts w:ascii="Times New Roman" w:hAnsi="Times New Roman" w:cs="Times New Roman"/>
          <w:color w:val="212121"/>
          <w:w w:val="90"/>
          <w:sz w:val="36"/>
          <w:szCs w:val="36"/>
        </w:rPr>
        <w:t>Obecného</w:t>
      </w:r>
      <w:r w:rsidRPr="00EC5194">
        <w:rPr>
          <w:rFonts w:ascii="Times New Roman" w:hAnsi="Times New Roman" w:cs="Times New Roman"/>
          <w:color w:val="212121"/>
          <w:spacing w:val="49"/>
          <w:w w:val="90"/>
          <w:sz w:val="36"/>
          <w:szCs w:val="36"/>
        </w:rPr>
        <w:t xml:space="preserve"> </w:t>
      </w:r>
      <w:r w:rsidRPr="00EC5194">
        <w:rPr>
          <w:rFonts w:ascii="Times New Roman" w:hAnsi="Times New Roman" w:cs="Times New Roman"/>
          <w:color w:val="212121"/>
          <w:w w:val="90"/>
          <w:sz w:val="36"/>
          <w:szCs w:val="36"/>
        </w:rPr>
        <w:t>zastupitel'stva</w:t>
      </w:r>
    </w:p>
    <w:p w14:paraId="5D6B45CC" w14:textId="77777777" w:rsidR="00EC5194" w:rsidRPr="00EC5194" w:rsidRDefault="00EC5194" w:rsidP="003C06C7">
      <w:pPr>
        <w:pStyle w:val="Nadpis11"/>
        <w:ind w:left="0" w:right="113"/>
        <w:jc w:val="center"/>
        <w:rPr>
          <w:rFonts w:ascii="Times New Roman" w:hAnsi="Times New Roman" w:cs="Times New Roman"/>
          <w:sz w:val="36"/>
          <w:szCs w:val="36"/>
        </w:rPr>
      </w:pPr>
    </w:p>
    <w:p w14:paraId="776181E4" w14:textId="77777777" w:rsidR="00411D7A" w:rsidRPr="00EC5194" w:rsidRDefault="00411D7A" w:rsidP="003C06C7">
      <w:pPr>
        <w:spacing w:after="0" w:line="312" w:lineRule="exact"/>
        <w:ind w:right="113"/>
        <w:jc w:val="center"/>
        <w:rPr>
          <w:rFonts w:ascii="Times New Roman" w:eastAsia="Arial" w:hAnsi="Times New Roman" w:cs="Times New Roman"/>
          <w:color w:val="212121"/>
          <w:w w:val="90"/>
          <w:sz w:val="36"/>
          <w:szCs w:val="36"/>
        </w:rPr>
      </w:pPr>
      <w:r w:rsidRPr="00EC5194">
        <w:rPr>
          <w:rFonts w:ascii="Times New Roman" w:eastAsia="Arial" w:hAnsi="Times New Roman" w:cs="Times New Roman"/>
          <w:color w:val="212121"/>
          <w:w w:val="90"/>
          <w:sz w:val="36"/>
          <w:szCs w:val="36"/>
        </w:rPr>
        <w:t xml:space="preserve">v </w:t>
      </w:r>
      <w:r w:rsidRPr="00EC5194">
        <w:rPr>
          <w:rFonts w:ascii="Times New Roman" w:eastAsia="Arial" w:hAnsi="Times New Roman" w:cs="Times New Roman"/>
          <w:color w:val="212121"/>
          <w:spacing w:val="3"/>
          <w:w w:val="90"/>
          <w:sz w:val="36"/>
          <w:szCs w:val="36"/>
        </w:rPr>
        <w:t xml:space="preserve"> </w:t>
      </w:r>
      <w:r w:rsidRPr="00EC5194">
        <w:rPr>
          <w:rFonts w:ascii="Times New Roman" w:eastAsia="Arial" w:hAnsi="Times New Roman" w:cs="Times New Roman"/>
          <w:color w:val="212121"/>
          <w:w w:val="90"/>
          <w:sz w:val="36"/>
          <w:szCs w:val="36"/>
        </w:rPr>
        <w:t xml:space="preserve">Bzinciach </w:t>
      </w:r>
      <w:r w:rsidRPr="00EC5194">
        <w:rPr>
          <w:rFonts w:ascii="Times New Roman" w:eastAsia="Arial" w:hAnsi="Times New Roman" w:cs="Times New Roman"/>
          <w:color w:val="212121"/>
          <w:spacing w:val="11"/>
          <w:w w:val="90"/>
          <w:sz w:val="36"/>
          <w:szCs w:val="36"/>
        </w:rPr>
        <w:t xml:space="preserve"> </w:t>
      </w:r>
      <w:r w:rsidRPr="00EC5194">
        <w:rPr>
          <w:rFonts w:ascii="Times New Roman" w:eastAsia="Arial" w:hAnsi="Times New Roman" w:cs="Times New Roman"/>
          <w:color w:val="212121"/>
          <w:w w:val="90"/>
          <w:sz w:val="36"/>
          <w:szCs w:val="36"/>
        </w:rPr>
        <w:t>pod</w:t>
      </w:r>
      <w:r w:rsidRPr="00EC5194">
        <w:rPr>
          <w:rFonts w:ascii="Times New Roman" w:eastAsia="Arial" w:hAnsi="Times New Roman" w:cs="Times New Roman"/>
          <w:color w:val="212121"/>
          <w:spacing w:val="25"/>
          <w:w w:val="90"/>
          <w:sz w:val="36"/>
          <w:szCs w:val="36"/>
        </w:rPr>
        <w:t xml:space="preserve"> </w:t>
      </w:r>
      <w:r w:rsidRPr="00EC5194">
        <w:rPr>
          <w:rFonts w:ascii="Times New Roman" w:eastAsia="Arial" w:hAnsi="Times New Roman" w:cs="Times New Roman"/>
          <w:color w:val="212121"/>
          <w:w w:val="90"/>
          <w:sz w:val="36"/>
          <w:szCs w:val="36"/>
        </w:rPr>
        <w:t>Javorinou</w:t>
      </w:r>
    </w:p>
    <w:p w14:paraId="72C0FF69" w14:textId="77777777" w:rsidR="00411D7A" w:rsidRPr="00EC5194" w:rsidRDefault="00411D7A" w:rsidP="003C06C7">
      <w:pPr>
        <w:spacing w:after="0" w:line="312" w:lineRule="exact"/>
        <w:ind w:right="113"/>
        <w:jc w:val="center"/>
        <w:rPr>
          <w:rFonts w:ascii="Times New Roman" w:eastAsia="Arial" w:hAnsi="Times New Roman" w:cs="Times New Roman"/>
          <w:color w:val="212121"/>
          <w:w w:val="90"/>
          <w:sz w:val="28"/>
          <w:szCs w:val="28"/>
        </w:rPr>
      </w:pPr>
    </w:p>
    <w:p w14:paraId="71135B73" w14:textId="77777777" w:rsidR="00411D7A" w:rsidRPr="00EC5194" w:rsidRDefault="00411D7A" w:rsidP="003C06C7">
      <w:pPr>
        <w:spacing w:after="0" w:line="312" w:lineRule="exact"/>
        <w:ind w:right="113"/>
        <w:jc w:val="center"/>
        <w:rPr>
          <w:rFonts w:ascii="Times New Roman" w:eastAsia="Arial" w:hAnsi="Times New Roman" w:cs="Times New Roman"/>
          <w:color w:val="212121"/>
          <w:w w:val="90"/>
          <w:sz w:val="28"/>
          <w:szCs w:val="28"/>
        </w:rPr>
      </w:pPr>
    </w:p>
    <w:p w14:paraId="0EA831CF" w14:textId="77777777" w:rsidR="00411D7A" w:rsidRPr="00EC5194" w:rsidRDefault="00411D7A" w:rsidP="003C06C7">
      <w:pPr>
        <w:spacing w:after="0" w:line="312" w:lineRule="exact"/>
        <w:ind w:right="113"/>
        <w:jc w:val="center"/>
        <w:rPr>
          <w:rFonts w:ascii="Times New Roman" w:eastAsia="Arial" w:hAnsi="Times New Roman" w:cs="Times New Roman"/>
          <w:color w:val="212121"/>
          <w:w w:val="90"/>
          <w:sz w:val="28"/>
          <w:szCs w:val="28"/>
        </w:rPr>
      </w:pPr>
    </w:p>
    <w:p w14:paraId="658B7C62" w14:textId="77777777" w:rsidR="00411D7A" w:rsidRPr="00EC5194" w:rsidRDefault="00411D7A" w:rsidP="003C06C7">
      <w:pPr>
        <w:spacing w:after="0" w:line="312" w:lineRule="exact"/>
        <w:ind w:right="113"/>
        <w:jc w:val="center"/>
        <w:rPr>
          <w:rFonts w:ascii="Times New Roman" w:eastAsia="Arial" w:hAnsi="Times New Roman" w:cs="Times New Roman"/>
          <w:b/>
          <w:bCs/>
          <w:sz w:val="36"/>
          <w:szCs w:val="36"/>
        </w:rPr>
      </w:pPr>
      <w:r w:rsidRPr="00EC5194">
        <w:rPr>
          <w:rFonts w:ascii="Times New Roman" w:eastAsia="Arial" w:hAnsi="Times New Roman" w:cs="Times New Roman"/>
          <w:b/>
          <w:bCs/>
          <w:color w:val="212121"/>
          <w:w w:val="90"/>
          <w:sz w:val="36"/>
          <w:szCs w:val="36"/>
        </w:rPr>
        <w:t>Dodatok č.1/2020</w:t>
      </w:r>
    </w:p>
    <w:p w14:paraId="332F9F8F" w14:textId="77777777" w:rsidR="00411D7A" w:rsidRPr="00EC5194" w:rsidRDefault="00411D7A" w:rsidP="003C06C7">
      <w:pPr>
        <w:spacing w:after="0" w:line="120" w:lineRule="exact"/>
        <w:ind w:right="113"/>
        <w:jc w:val="center"/>
        <w:rPr>
          <w:rFonts w:ascii="Times New Roman" w:hAnsi="Times New Roman" w:cs="Times New Roman"/>
          <w:sz w:val="12"/>
          <w:szCs w:val="12"/>
        </w:rPr>
      </w:pPr>
    </w:p>
    <w:p w14:paraId="4508F043"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02F626D7"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383CBA2E"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0CBF59C6"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23E3A9FE"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6FFD3D6D"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612A7BBA"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35D97599"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72813F0D"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635CD912"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7C007169"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380BBC3C"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354123A3"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1F00F5E4"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02E5DEDC"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47A345C9" w14:textId="77777777" w:rsidR="00411D7A" w:rsidRPr="00EC5194" w:rsidRDefault="00411D7A" w:rsidP="003C06C7">
      <w:pPr>
        <w:spacing w:after="0" w:line="200" w:lineRule="exact"/>
        <w:ind w:right="113"/>
        <w:jc w:val="center"/>
        <w:rPr>
          <w:rFonts w:ascii="Times New Roman" w:hAnsi="Times New Roman" w:cs="Times New Roman"/>
          <w:sz w:val="20"/>
          <w:szCs w:val="20"/>
        </w:rPr>
      </w:pPr>
    </w:p>
    <w:p w14:paraId="5DB8FBC6" w14:textId="77777777" w:rsidR="00411D7A" w:rsidRPr="00EC5194" w:rsidRDefault="00411D7A" w:rsidP="003C06C7">
      <w:pPr>
        <w:pStyle w:val="Nadpis31"/>
        <w:ind w:right="113"/>
        <w:jc w:val="center"/>
        <w:rPr>
          <w:rFonts w:ascii="Times New Roman" w:hAnsi="Times New Roman" w:cs="Times New Roman"/>
          <w:color w:val="212121"/>
          <w:spacing w:val="1"/>
          <w:w w:val="110"/>
        </w:rPr>
      </w:pPr>
      <w:r w:rsidRPr="00EC5194">
        <w:rPr>
          <w:rFonts w:ascii="Times New Roman" w:hAnsi="Times New Roman" w:cs="Times New Roman"/>
          <w:color w:val="212121"/>
          <w:w w:val="110"/>
        </w:rPr>
        <w:t>Bzince</w:t>
      </w:r>
      <w:r w:rsidRPr="00EC5194">
        <w:rPr>
          <w:rFonts w:ascii="Times New Roman" w:hAnsi="Times New Roman" w:cs="Times New Roman"/>
          <w:color w:val="212121"/>
          <w:spacing w:val="-23"/>
          <w:w w:val="110"/>
        </w:rPr>
        <w:t xml:space="preserve"> </w:t>
      </w:r>
      <w:r w:rsidRPr="00EC5194">
        <w:rPr>
          <w:rFonts w:ascii="Times New Roman" w:hAnsi="Times New Roman" w:cs="Times New Roman"/>
          <w:color w:val="212121"/>
          <w:w w:val="110"/>
        </w:rPr>
        <w:t>pod</w:t>
      </w:r>
      <w:r w:rsidRPr="00EC5194">
        <w:rPr>
          <w:rFonts w:ascii="Times New Roman" w:hAnsi="Times New Roman" w:cs="Times New Roman"/>
          <w:color w:val="212121"/>
          <w:spacing w:val="-47"/>
          <w:w w:val="110"/>
        </w:rPr>
        <w:t xml:space="preserve"> </w:t>
      </w:r>
      <w:r w:rsidRPr="00EC5194">
        <w:rPr>
          <w:rFonts w:ascii="Times New Roman" w:hAnsi="Times New Roman" w:cs="Times New Roman"/>
          <w:color w:val="212121"/>
          <w:w w:val="110"/>
        </w:rPr>
        <w:t>Javorinou,</w:t>
      </w:r>
      <w:r w:rsidRPr="00EC5194">
        <w:rPr>
          <w:rFonts w:ascii="Times New Roman" w:hAnsi="Times New Roman" w:cs="Times New Roman"/>
          <w:color w:val="212121"/>
          <w:spacing w:val="1"/>
          <w:w w:val="110"/>
        </w:rPr>
        <w:t xml:space="preserve"> 12.8.2020</w:t>
      </w:r>
    </w:p>
    <w:p w14:paraId="1C9FBDEA" w14:textId="77777777" w:rsidR="00411D7A" w:rsidRDefault="00411D7A" w:rsidP="003C06C7">
      <w:pPr>
        <w:pStyle w:val="Nadpis31"/>
        <w:ind w:right="113"/>
        <w:jc w:val="center"/>
        <w:rPr>
          <w:color w:val="212121"/>
          <w:spacing w:val="1"/>
          <w:w w:val="110"/>
        </w:rPr>
      </w:pPr>
    </w:p>
    <w:p w14:paraId="37456B76" w14:textId="77777777" w:rsidR="00411D7A" w:rsidRDefault="00411D7A" w:rsidP="003C06C7">
      <w:pPr>
        <w:pStyle w:val="Nadpis31"/>
        <w:ind w:right="113"/>
        <w:jc w:val="center"/>
        <w:rPr>
          <w:color w:val="212121"/>
          <w:spacing w:val="1"/>
          <w:w w:val="110"/>
        </w:rPr>
      </w:pPr>
    </w:p>
    <w:p w14:paraId="7D386335" w14:textId="77777777" w:rsidR="003C06C7" w:rsidRDefault="003C06C7" w:rsidP="003C06C7">
      <w:pPr>
        <w:pStyle w:val="Nadpis31"/>
        <w:ind w:right="113"/>
        <w:jc w:val="center"/>
        <w:rPr>
          <w:color w:val="212121"/>
          <w:spacing w:val="1"/>
          <w:w w:val="110"/>
        </w:rPr>
      </w:pPr>
    </w:p>
    <w:p w14:paraId="7742E42F" w14:textId="77777777" w:rsidR="003C06C7" w:rsidRDefault="003C06C7" w:rsidP="003C06C7">
      <w:pPr>
        <w:pStyle w:val="Nadpis31"/>
        <w:ind w:right="113"/>
        <w:jc w:val="center"/>
        <w:rPr>
          <w:color w:val="212121"/>
          <w:spacing w:val="1"/>
          <w:w w:val="110"/>
        </w:rPr>
      </w:pPr>
    </w:p>
    <w:p w14:paraId="5C38C9B2" w14:textId="77777777" w:rsidR="003C06C7" w:rsidRDefault="003C06C7" w:rsidP="003C06C7">
      <w:pPr>
        <w:pStyle w:val="Nadpis31"/>
        <w:ind w:right="113"/>
        <w:jc w:val="center"/>
        <w:rPr>
          <w:color w:val="212121"/>
          <w:spacing w:val="1"/>
          <w:w w:val="110"/>
        </w:rPr>
      </w:pPr>
    </w:p>
    <w:p w14:paraId="099E9DCA" w14:textId="77777777" w:rsidR="003C06C7" w:rsidRDefault="003C06C7" w:rsidP="003C06C7">
      <w:pPr>
        <w:pStyle w:val="Nadpis31"/>
        <w:ind w:right="113"/>
        <w:jc w:val="center"/>
        <w:rPr>
          <w:color w:val="212121"/>
          <w:spacing w:val="1"/>
          <w:w w:val="110"/>
        </w:rPr>
      </w:pPr>
    </w:p>
    <w:p w14:paraId="251805FB" w14:textId="77777777" w:rsidR="003C06C7" w:rsidRDefault="003C06C7" w:rsidP="003C06C7">
      <w:pPr>
        <w:pStyle w:val="Nadpis31"/>
        <w:ind w:right="113"/>
        <w:jc w:val="center"/>
        <w:rPr>
          <w:color w:val="212121"/>
          <w:spacing w:val="1"/>
          <w:w w:val="110"/>
        </w:rPr>
      </w:pPr>
    </w:p>
    <w:p w14:paraId="25AA3F7C" w14:textId="77777777" w:rsidR="003C06C7" w:rsidRDefault="003C06C7" w:rsidP="003C06C7">
      <w:pPr>
        <w:pStyle w:val="Nadpis31"/>
        <w:ind w:right="113"/>
        <w:jc w:val="center"/>
        <w:rPr>
          <w:color w:val="212121"/>
          <w:spacing w:val="1"/>
          <w:w w:val="110"/>
        </w:rPr>
      </w:pPr>
    </w:p>
    <w:p w14:paraId="0F522E99" w14:textId="77777777" w:rsidR="003C06C7" w:rsidRDefault="003C06C7" w:rsidP="003C06C7">
      <w:pPr>
        <w:pStyle w:val="Nadpis31"/>
        <w:ind w:right="113"/>
        <w:jc w:val="center"/>
        <w:rPr>
          <w:color w:val="212121"/>
          <w:spacing w:val="1"/>
          <w:w w:val="110"/>
        </w:rPr>
      </w:pPr>
    </w:p>
    <w:p w14:paraId="5ED2600C" w14:textId="77777777" w:rsidR="003C06C7" w:rsidRDefault="003C06C7" w:rsidP="003C06C7">
      <w:pPr>
        <w:pStyle w:val="Nadpis31"/>
        <w:ind w:right="113"/>
        <w:jc w:val="center"/>
        <w:rPr>
          <w:color w:val="212121"/>
          <w:spacing w:val="1"/>
          <w:w w:val="110"/>
        </w:rPr>
      </w:pPr>
    </w:p>
    <w:p w14:paraId="47BB9C9A" w14:textId="77777777" w:rsidR="00E13E36" w:rsidRPr="00EC5194" w:rsidRDefault="00EC5194" w:rsidP="003C06C7">
      <w:pPr>
        <w:pStyle w:val="Nadpis2"/>
        <w:spacing w:after="0"/>
        <w:ind w:left="0" w:right="113"/>
        <w:rPr>
          <w:rFonts w:ascii="Times New Roman" w:hAnsi="Times New Roman" w:cs="Times New Roman"/>
          <w:szCs w:val="28"/>
        </w:rPr>
      </w:pPr>
      <w:r w:rsidRPr="00EC5194">
        <w:rPr>
          <w:rFonts w:ascii="Times New Roman" w:hAnsi="Times New Roman" w:cs="Times New Roman"/>
          <w:color w:val="auto"/>
          <w:szCs w:val="28"/>
        </w:rPr>
        <w:lastRenderedPageBreak/>
        <w:t>Článok 1</w:t>
      </w:r>
      <w:r w:rsidR="005C2F4B" w:rsidRPr="00EC5194">
        <w:rPr>
          <w:rFonts w:ascii="Times New Roman" w:hAnsi="Times New Roman" w:cs="Times New Roman"/>
          <w:szCs w:val="28"/>
        </w:rPr>
        <w:t xml:space="preserve"> </w:t>
      </w:r>
    </w:p>
    <w:p w14:paraId="03739D89" w14:textId="77777777" w:rsidR="00E13E36" w:rsidRPr="00EC5194" w:rsidRDefault="005C2F4B" w:rsidP="00E56B92">
      <w:pPr>
        <w:spacing w:after="0" w:line="240" w:lineRule="auto"/>
        <w:ind w:right="113" w:firstLine="708"/>
        <w:jc w:val="both"/>
        <w:rPr>
          <w:rFonts w:ascii="Times New Roman" w:hAnsi="Times New Roman" w:cs="Times New Roman"/>
          <w:sz w:val="24"/>
          <w:szCs w:val="24"/>
        </w:rPr>
      </w:pPr>
      <w:r w:rsidRPr="00EC5194">
        <w:rPr>
          <w:rFonts w:ascii="Times New Roman" w:hAnsi="Times New Roman" w:cs="Times New Roman"/>
          <w:b/>
          <w:sz w:val="24"/>
          <w:szCs w:val="24"/>
        </w:rPr>
        <w:t xml:space="preserve">Novela Zákona </w:t>
      </w:r>
      <w:r w:rsidR="00EC5194">
        <w:rPr>
          <w:rFonts w:ascii="Times New Roman" w:hAnsi="Times New Roman" w:cs="Times New Roman"/>
          <w:b/>
          <w:sz w:val="24"/>
          <w:szCs w:val="24"/>
        </w:rPr>
        <w:t xml:space="preserve">369/1990 Zb. </w:t>
      </w:r>
      <w:r w:rsidRPr="00EC5194">
        <w:rPr>
          <w:rFonts w:ascii="Times New Roman" w:hAnsi="Times New Roman" w:cs="Times New Roman"/>
          <w:b/>
          <w:sz w:val="24"/>
          <w:szCs w:val="24"/>
        </w:rPr>
        <w:t xml:space="preserve">o obecnom zriadení </w:t>
      </w:r>
      <w:r w:rsidRPr="00EC5194">
        <w:rPr>
          <w:rFonts w:ascii="Times New Roman" w:hAnsi="Times New Roman" w:cs="Times New Roman"/>
          <w:sz w:val="24"/>
          <w:szCs w:val="24"/>
        </w:rPr>
        <w:t xml:space="preserve">reaguje na situáciu v súvislosti </w:t>
      </w:r>
      <w:r w:rsidR="00CA1204" w:rsidRPr="00EC5194">
        <w:rPr>
          <w:rFonts w:ascii="Times New Roman" w:hAnsi="Times New Roman" w:cs="Times New Roman"/>
          <w:sz w:val="24"/>
          <w:szCs w:val="24"/>
        </w:rPr>
        <w:t>s COVID – 19,</w:t>
      </w:r>
      <w:r w:rsidRPr="00EC5194">
        <w:rPr>
          <w:rFonts w:ascii="Times New Roman" w:hAnsi="Times New Roman" w:cs="Times New Roman"/>
          <w:b/>
          <w:sz w:val="24"/>
          <w:szCs w:val="24"/>
        </w:rPr>
        <w:t xml:space="preserve"> rozšírením možností foriem hlasovania obecných a mestských zastupiteľstiev</w:t>
      </w:r>
      <w:r w:rsidRPr="00EC5194">
        <w:rPr>
          <w:rFonts w:ascii="Times New Roman" w:hAnsi="Times New Roman" w:cs="Times New Roman"/>
          <w:sz w:val="24"/>
          <w:szCs w:val="24"/>
        </w:rPr>
        <w:t xml:space="preserve"> a tiež </w:t>
      </w:r>
      <w:r w:rsidRPr="00EC5194">
        <w:rPr>
          <w:rFonts w:ascii="Times New Roman" w:hAnsi="Times New Roman" w:cs="Times New Roman"/>
          <w:b/>
          <w:sz w:val="24"/>
          <w:szCs w:val="24"/>
        </w:rPr>
        <w:t>reflektuje na problematiku voľby hlavného kontrolóra</w:t>
      </w:r>
      <w:r w:rsidRPr="00EC5194">
        <w:rPr>
          <w:rFonts w:ascii="Times New Roman" w:hAnsi="Times New Roman" w:cs="Times New Roman"/>
          <w:sz w:val="24"/>
          <w:szCs w:val="24"/>
        </w:rPr>
        <w:t xml:space="preserve">, ak mu v tomto období končí uplynutie volebného obdobia.  </w:t>
      </w:r>
    </w:p>
    <w:p w14:paraId="056F3F3B" w14:textId="77777777" w:rsidR="00E13E36" w:rsidRPr="00EC5194" w:rsidRDefault="005C2F4B" w:rsidP="00E56B92">
      <w:pPr>
        <w:spacing w:after="0" w:line="250" w:lineRule="auto"/>
        <w:ind w:right="113" w:firstLine="708"/>
        <w:jc w:val="both"/>
        <w:rPr>
          <w:rFonts w:ascii="Times New Roman" w:hAnsi="Times New Roman" w:cs="Times New Roman"/>
          <w:sz w:val="24"/>
          <w:szCs w:val="24"/>
        </w:rPr>
      </w:pPr>
      <w:r w:rsidRPr="00EC5194">
        <w:rPr>
          <w:rFonts w:ascii="Times New Roman" w:hAnsi="Times New Roman" w:cs="Times New Roman"/>
          <w:sz w:val="24"/>
          <w:szCs w:val="24"/>
        </w:rPr>
        <w:t xml:space="preserve">Zároveň sa prerušujú  lehoty, ktorých plynutie je v krízovej situácii vzhľadom na potrebu ochrany verejného zdravia účelné pozastaviť. </w:t>
      </w:r>
    </w:p>
    <w:p w14:paraId="17D95F3A" w14:textId="77777777" w:rsidR="00E56B92" w:rsidRDefault="00E56B92" w:rsidP="003C06C7">
      <w:pPr>
        <w:spacing w:after="0" w:line="276" w:lineRule="auto"/>
        <w:ind w:right="113" w:hanging="10"/>
        <w:jc w:val="center"/>
        <w:rPr>
          <w:rFonts w:ascii="Times New Roman" w:eastAsia="Times New Roman" w:hAnsi="Times New Roman" w:cs="Times New Roman"/>
          <w:b/>
          <w:bCs/>
          <w:sz w:val="28"/>
          <w:szCs w:val="28"/>
        </w:rPr>
      </w:pPr>
    </w:p>
    <w:p w14:paraId="0926EEAB" w14:textId="77777777" w:rsidR="00EC5194" w:rsidRDefault="00EC5194" w:rsidP="003C06C7">
      <w:pPr>
        <w:spacing w:after="0" w:line="276" w:lineRule="auto"/>
        <w:ind w:right="113" w:hanging="10"/>
        <w:jc w:val="center"/>
        <w:rPr>
          <w:rFonts w:ascii="Times New Roman" w:eastAsia="Times New Roman" w:hAnsi="Times New Roman" w:cs="Times New Roman"/>
          <w:b/>
          <w:bCs/>
          <w:sz w:val="28"/>
          <w:szCs w:val="28"/>
        </w:rPr>
      </w:pPr>
      <w:r w:rsidRPr="00EC5194">
        <w:rPr>
          <w:rFonts w:ascii="Times New Roman" w:eastAsia="Times New Roman" w:hAnsi="Times New Roman" w:cs="Times New Roman"/>
          <w:b/>
          <w:bCs/>
          <w:sz w:val="28"/>
          <w:szCs w:val="28"/>
        </w:rPr>
        <w:t>Článok 2</w:t>
      </w:r>
    </w:p>
    <w:p w14:paraId="359ECB3F" w14:textId="77777777" w:rsidR="00EC5194" w:rsidRPr="00E56B92" w:rsidRDefault="00EC5194" w:rsidP="003C06C7">
      <w:pPr>
        <w:spacing w:after="0" w:line="276" w:lineRule="auto"/>
        <w:ind w:right="113" w:hanging="10"/>
        <w:jc w:val="center"/>
        <w:rPr>
          <w:rFonts w:ascii="Times New Roman" w:eastAsia="Times New Roman" w:hAnsi="Times New Roman" w:cs="Times New Roman"/>
          <w:b/>
          <w:bCs/>
          <w:sz w:val="16"/>
          <w:szCs w:val="16"/>
        </w:rPr>
      </w:pPr>
    </w:p>
    <w:p w14:paraId="27E80169" w14:textId="77777777" w:rsidR="00E13E36" w:rsidRPr="00EC5194" w:rsidRDefault="005C2F4B" w:rsidP="00E56B92">
      <w:pPr>
        <w:spacing w:after="0" w:line="276" w:lineRule="auto"/>
        <w:ind w:right="113" w:hanging="11"/>
        <w:jc w:val="center"/>
        <w:rPr>
          <w:b/>
          <w:bCs/>
        </w:rPr>
      </w:pPr>
      <w:r w:rsidRPr="00EC5194">
        <w:rPr>
          <w:rFonts w:ascii="Times New Roman" w:eastAsia="Times New Roman" w:hAnsi="Times New Roman" w:cs="Times New Roman"/>
          <w:b/>
          <w:bCs/>
          <w:sz w:val="24"/>
        </w:rPr>
        <w:t xml:space="preserve">Prechodné ustanovenia súvisiace s krízovou situáciou </w:t>
      </w:r>
    </w:p>
    <w:p w14:paraId="0A8AE49A" w14:textId="77777777" w:rsidR="00E13E36" w:rsidRDefault="005C2F4B" w:rsidP="00E56B92">
      <w:pPr>
        <w:spacing w:after="0" w:line="276" w:lineRule="auto"/>
        <w:ind w:right="113" w:hanging="11"/>
        <w:jc w:val="center"/>
        <w:rPr>
          <w:rFonts w:ascii="Times New Roman" w:eastAsia="Times New Roman" w:hAnsi="Times New Roman" w:cs="Times New Roman"/>
          <w:b/>
          <w:bCs/>
          <w:sz w:val="24"/>
        </w:rPr>
      </w:pPr>
      <w:r w:rsidRPr="00EC5194">
        <w:rPr>
          <w:rFonts w:ascii="Times New Roman" w:eastAsia="Times New Roman" w:hAnsi="Times New Roman" w:cs="Times New Roman"/>
          <w:b/>
          <w:bCs/>
          <w:sz w:val="24"/>
        </w:rPr>
        <w:t xml:space="preserve">spôsobenou ochorením COVID-19 </w:t>
      </w:r>
    </w:p>
    <w:p w14:paraId="0D70980D" w14:textId="77777777" w:rsidR="00EC5194" w:rsidRPr="00E56B92" w:rsidRDefault="00EC5194" w:rsidP="003C06C7">
      <w:pPr>
        <w:spacing w:after="0" w:line="276" w:lineRule="auto"/>
        <w:ind w:right="113" w:hanging="10"/>
        <w:jc w:val="center"/>
        <w:rPr>
          <w:b/>
          <w:bCs/>
          <w:sz w:val="16"/>
          <w:szCs w:val="16"/>
        </w:rPr>
      </w:pPr>
    </w:p>
    <w:p w14:paraId="3385F5BA" w14:textId="77777777" w:rsidR="00E13E36" w:rsidRDefault="005C2F4B" w:rsidP="003C06C7">
      <w:pPr>
        <w:numPr>
          <w:ilvl w:val="0"/>
          <w:numId w:val="1"/>
        </w:numPr>
        <w:spacing w:after="0" w:line="276" w:lineRule="auto"/>
        <w:ind w:left="0" w:right="113" w:hanging="338"/>
        <w:jc w:val="both"/>
      </w:pPr>
      <w:r>
        <w:rPr>
          <w:rFonts w:ascii="Times New Roman" w:eastAsia="Times New Roman" w:hAnsi="Times New Roman" w:cs="Times New Roman"/>
          <w:sz w:val="24"/>
        </w:rPr>
        <w:t xml:space="preserve">Počas mimoriadnej situácie, núdzového stavu alebo výnimočného stavu vyhláseného v súvislosti s ochorením COVID-19 (ďalej len „krízová situácia“) lehoty ustanovené v § 11a ods. 3, § 14 ods. 4, § 18a ods. 2 prvej vete a ods. 4 neplynú.   </w:t>
      </w:r>
    </w:p>
    <w:p w14:paraId="3530B398"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color w:val="auto"/>
          <w:sz w:val="24"/>
        </w:rPr>
        <w:t xml:space="preserve">Neplynutie lehôt sa dotýka týchto ustanovení: </w:t>
      </w:r>
    </w:p>
    <w:p w14:paraId="28668B96" w14:textId="77777777" w:rsidR="00E13E36" w:rsidRPr="00EC5194" w:rsidRDefault="005C2F4B" w:rsidP="00E56B92">
      <w:pPr>
        <w:spacing w:after="0" w:line="276" w:lineRule="auto"/>
        <w:ind w:right="113"/>
        <w:rPr>
          <w:color w:val="auto"/>
        </w:rPr>
      </w:pPr>
      <w:r w:rsidRPr="00EC5194">
        <w:rPr>
          <w:rFonts w:ascii="Times New Roman" w:eastAsia="Times New Roman" w:hAnsi="Times New Roman" w:cs="Times New Roman"/>
          <w:b/>
          <w:color w:val="auto"/>
          <w:sz w:val="24"/>
        </w:rPr>
        <w:t xml:space="preserve">K miestnemu referendu § 11a ods. 3: </w:t>
      </w:r>
    </w:p>
    <w:p w14:paraId="0105CA45"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Petíciu podľa odseku 1 písm. c) overujú aspoň traja poslanci určení obecným zastupiteľstvom, ktorí nemôžu byť členmi petičného výboru, a starosta; starosta neoveruje petíciu podanú podľa</w:t>
      </w:r>
      <w:hyperlink r:id="rId7" w:anchor="paragraf-13a.odsek-3.pismeno-a">
        <w:r w:rsidRPr="00EC5194">
          <w:rPr>
            <w:rFonts w:ascii="Times New Roman" w:eastAsia="Times New Roman" w:hAnsi="Times New Roman" w:cs="Times New Roman"/>
            <w:i/>
            <w:color w:val="auto"/>
            <w:sz w:val="24"/>
          </w:rPr>
          <w:t xml:space="preserve"> </w:t>
        </w:r>
      </w:hyperlink>
      <w:hyperlink r:id="rId8" w:anchor="paragraf-13a.odsek-3.pismeno-a">
        <w:r w:rsidRPr="00EC5194">
          <w:rPr>
            <w:rFonts w:ascii="Times New Roman" w:eastAsia="Times New Roman" w:hAnsi="Times New Roman" w:cs="Times New Roman"/>
            <w:i/>
            <w:color w:val="auto"/>
            <w:sz w:val="24"/>
          </w:rPr>
          <w:t xml:space="preserve">§ 13a ods. 3 </w:t>
        </w:r>
      </w:hyperlink>
      <w:hyperlink r:id="rId9" w:anchor="paragraf-13a.odsek-3.pismeno-a">
        <w:r w:rsidRPr="00EC5194">
          <w:rPr>
            <w:rFonts w:ascii="Times New Roman" w:eastAsia="Times New Roman" w:hAnsi="Times New Roman" w:cs="Times New Roman"/>
            <w:i/>
            <w:color w:val="auto"/>
            <w:sz w:val="24"/>
          </w:rPr>
          <w:t>písm. a).</w:t>
        </w:r>
      </w:hyperlink>
      <w:r w:rsidRPr="00EC5194">
        <w:rPr>
          <w:rFonts w:ascii="Times New Roman" w:eastAsia="Times New Roman" w:hAnsi="Times New Roman" w:cs="Times New Roman"/>
          <w:i/>
          <w:color w:val="auto"/>
          <w:sz w:val="24"/>
        </w:rPr>
        <w:t xml:space="preserve"> Ak petícia spĺňa náležitosti ustanovené osobitným zákonom</w:t>
      </w:r>
      <w:hyperlink r:id="rId10" w:anchor="poznamky.poznamka-2a">
        <w:r w:rsidRPr="00EC5194">
          <w:rPr>
            <w:rFonts w:ascii="Times New Roman" w:eastAsia="Times New Roman" w:hAnsi="Times New Roman" w:cs="Times New Roman"/>
            <w:i/>
            <w:color w:val="auto"/>
            <w:sz w:val="24"/>
            <w:vertAlign w:val="superscript"/>
          </w:rPr>
          <w:t>2a</w:t>
        </w:r>
      </w:hyperlink>
      <w:hyperlink r:id="rId11" w:anchor="poznamky.poznamka-2a">
        <w:r w:rsidRPr="00EC5194">
          <w:rPr>
            <w:rFonts w:ascii="Times New Roman" w:eastAsia="Times New Roman" w:hAnsi="Times New Roman" w:cs="Times New Roman"/>
            <w:i/>
            <w:color w:val="auto"/>
            <w:sz w:val="24"/>
          </w:rPr>
          <w:t xml:space="preserve">) </w:t>
        </w:r>
      </w:hyperlink>
      <w:r w:rsidRPr="00EC5194">
        <w:rPr>
          <w:rFonts w:ascii="Times New Roman" w:eastAsia="Times New Roman" w:hAnsi="Times New Roman" w:cs="Times New Roman"/>
          <w:i/>
          <w:color w:val="auto"/>
          <w:sz w:val="24"/>
        </w:rPr>
        <w:t>a ak ide o rozdelenie obce, aj náležitosti podľa odseku 2, obecné zastupiteľstvo vyhlási miestne referendum tak, aby sa uskutočnilo do 90 dní od doručenia petície obci; to platí aj v prípade petície podľa</w:t>
      </w:r>
      <w:hyperlink r:id="rId12" w:anchor="paragraf-13a.odsek-3.pismeno-a">
        <w:r w:rsidRPr="00EC5194">
          <w:rPr>
            <w:rFonts w:ascii="Times New Roman" w:eastAsia="Times New Roman" w:hAnsi="Times New Roman" w:cs="Times New Roman"/>
            <w:i/>
            <w:color w:val="auto"/>
            <w:sz w:val="24"/>
          </w:rPr>
          <w:t xml:space="preserve"> </w:t>
        </w:r>
      </w:hyperlink>
      <w:hyperlink r:id="rId13" w:anchor="paragraf-13a.odsek-3.pismeno-a">
        <w:r w:rsidRPr="00EC5194">
          <w:rPr>
            <w:rFonts w:ascii="Times New Roman" w:eastAsia="Times New Roman" w:hAnsi="Times New Roman" w:cs="Times New Roman"/>
            <w:i/>
            <w:color w:val="auto"/>
            <w:sz w:val="24"/>
          </w:rPr>
          <w:t>§ 13a ods. 3 písm. a)</w:t>
        </w:r>
      </w:hyperlink>
      <w:hyperlink r:id="rId14" w:anchor="paragraf-13a.odsek-3.pismeno-a">
        <w:r w:rsidRPr="00EC5194">
          <w:rPr>
            <w:rFonts w:ascii="Times New Roman" w:eastAsia="Times New Roman" w:hAnsi="Times New Roman" w:cs="Times New Roman"/>
            <w:i/>
            <w:color w:val="auto"/>
            <w:sz w:val="24"/>
          </w:rPr>
          <w:t>.</w:t>
        </w:r>
      </w:hyperlink>
      <w:r w:rsidRPr="00EC5194">
        <w:rPr>
          <w:rFonts w:ascii="Times New Roman" w:eastAsia="Times New Roman" w:hAnsi="Times New Roman" w:cs="Times New Roman"/>
          <w:i/>
          <w:color w:val="auto"/>
          <w:sz w:val="24"/>
        </w:rPr>
        <w:t xml:space="preserve"> </w:t>
      </w:r>
    </w:p>
    <w:p w14:paraId="562D6533" w14:textId="77777777" w:rsidR="00E13E36" w:rsidRPr="00EC5194" w:rsidRDefault="005C2F4B" w:rsidP="00E56B92">
      <w:pPr>
        <w:spacing w:after="0" w:line="276" w:lineRule="auto"/>
        <w:ind w:right="113"/>
        <w:rPr>
          <w:color w:val="auto"/>
        </w:rPr>
      </w:pPr>
      <w:r w:rsidRPr="00EC5194">
        <w:rPr>
          <w:rFonts w:ascii="Times New Roman" w:eastAsia="Times New Roman" w:hAnsi="Times New Roman" w:cs="Times New Roman"/>
          <w:color w:val="auto"/>
          <w:sz w:val="24"/>
        </w:rPr>
        <w:t xml:space="preserve"> </w:t>
      </w:r>
      <w:r w:rsidRPr="00EC5194">
        <w:rPr>
          <w:rFonts w:ascii="Times New Roman" w:eastAsia="Times New Roman" w:hAnsi="Times New Roman" w:cs="Times New Roman"/>
          <w:b/>
          <w:color w:val="auto"/>
          <w:sz w:val="24"/>
        </w:rPr>
        <w:t xml:space="preserve">K zasadnutiam obecnej rady § 14 ods. 4  </w:t>
      </w:r>
    </w:p>
    <w:p w14:paraId="26902ED8"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 xml:space="preserve">Obecná rada sa schádza podľa potreby, najmenej raz za tri mesiace. Jej zasadnutie zvoláva a vedie starosta alebo zástupca starostu, ak tak neurobí starosta. </w:t>
      </w:r>
    </w:p>
    <w:p w14:paraId="0461E732" w14:textId="77777777" w:rsidR="00E13E36" w:rsidRPr="00EC5194" w:rsidRDefault="005C2F4B" w:rsidP="00E56B92">
      <w:pPr>
        <w:spacing w:after="0" w:line="276" w:lineRule="auto"/>
        <w:ind w:right="113"/>
        <w:rPr>
          <w:color w:val="auto"/>
        </w:rPr>
      </w:pPr>
      <w:r w:rsidRPr="00EC5194">
        <w:rPr>
          <w:rFonts w:ascii="Times New Roman" w:eastAsia="Times New Roman" w:hAnsi="Times New Roman" w:cs="Times New Roman"/>
          <w:color w:val="auto"/>
          <w:sz w:val="24"/>
        </w:rPr>
        <w:t xml:space="preserve"> </w:t>
      </w:r>
      <w:r w:rsidRPr="00EC5194">
        <w:rPr>
          <w:rFonts w:ascii="Times New Roman" w:eastAsia="Times New Roman" w:hAnsi="Times New Roman" w:cs="Times New Roman"/>
          <w:b/>
          <w:color w:val="auto"/>
          <w:sz w:val="24"/>
        </w:rPr>
        <w:t xml:space="preserve">K voľbe hlavného kontrolóra § 18 a ods. 2  prvá veta </w:t>
      </w:r>
    </w:p>
    <w:p w14:paraId="3AEF0AA8"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 xml:space="preserve">Deň konania voľby hlavného kontrolóra vyhlási obecné zastupiteľstvo na úradnej tabuli a spôsobom v mieste obvyklým najmenej 40 dní pred dňom konania voľby tak, aby sa voľba vykonala počas posledných 60 dní funkčného obdobia doterajšieho hlavného kontrolóra. Kandidát na funkciu hlavného kontrolóra musí odovzdať svoju písomnú prihlášku najneskôr 14 dní pred dňom konania voľby na obecnom úrade.  </w:t>
      </w:r>
    </w:p>
    <w:p w14:paraId="7F78B049" w14:textId="77777777" w:rsidR="00E13E36" w:rsidRPr="00EC5194" w:rsidRDefault="005C2F4B" w:rsidP="00E56B92">
      <w:pPr>
        <w:spacing w:after="0" w:line="276" w:lineRule="auto"/>
        <w:ind w:right="113"/>
        <w:rPr>
          <w:color w:val="auto"/>
        </w:rPr>
      </w:pPr>
      <w:r w:rsidRPr="00EC5194">
        <w:rPr>
          <w:rFonts w:ascii="Times New Roman" w:eastAsia="Times New Roman" w:hAnsi="Times New Roman" w:cs="Times New Roman"/>
          <w:color w:val="auto"/>
          <w:sz w:val="24"/>
        </w:rPr>
        <w:t xml:space="preserve"> </w:t>
      </w:r>
      <w:r w:rsidRPr="00EC5194">
        <w:rPr>
          <w:rFonts w:ascii="Times New Roman" w:eastAsia="Times New Roman" w:hAnsi="Times New Roman" w:cs="Times New Roman"/>
          <w:b/>
          <w:color w:val="auto"/>
          <w:sz w:val="24"/>
        </w:rPr>
        <w:t xml:space="preserve">K voľbe hlavného kontrolóra § 18a ods. 4 </w:t>
      </w:r>
    </w:p>
    <w:p w14:paraId="540FD7E1"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 xml:space="preserve">Ak výkon funkcie hlavného kontrolóra zaniká spôsobom podľa odseku 8 písm. a), b) alebo d), vyhlási zastupiteľstvo nové voľby hlavného kontrolóra tak, aby sa konali najneskôr do 60 dní odo dňa skončenia výkonu funkcie hlavného kontrolóra. </w:t>
      </w:r>
    </w:p>
    <w:p w14:paraId="7ED9BA36" w14:textId="77777777" w:rsidR="00E13E36" w:rsidRPr="00E56B92" w:rsidRDefault="005C2F4B" w:rsidP="003C06C7">
      <w:pPr>
        <w:spacing w:after="0" w:line="276" w:lineRule="auto"/>
        <w:ind w:right="113"/>
        <w:rPr>
          <w:sz w:val="16"/>
          <w:szCs w:val="16"/>
        </w:rPr>
      </w:pPr>
      <w:r>
        <w:rPr>
          <w:rFonts w:ascii="Times New Roman" w:eastAsia="Times New Roman" w:hAnsi="Times New Roman" w:cs="Times New Roman"/>
          <w:sz w:val="24"/>
        </w:rPr>
        <w:t xml:space="preserve"> </w:t>
      </w:r>
    </w:p>
    <w:p w14:paraId="01C9A3E7" w14:textId="77777777" w:rsidR="00E13E36" w:rsidRPr="00EC5194" w:rsidRDefault="005C2F4B" w:rsidP="003C06C7">
      <w:pPr>
        <w:numPr>
          <w:ilvl w:val="0"/>
          <w:numId w:val="1"/>
        </w:numPr>
        <w:spacing w:after="0" w:line="276" w:lineRule="auto"/>
        <w:ind w:left="0" w:right="113" w:hanging="338"/>
        <w:jc w:val="both"/>
      </w:pPr>
      <w:r>
        <w:rPr>
          <w:rFonts w:ascii="Times New Roman" w:eastAsia="Times New Roman" w:hAnsi="Times New Roman" w:cs="Times New Roman"/>
          <w:sz w:val="24"/>
        </w:rPr>
        <w:t xml:space="preserve">Rokovanie obecného zastupiteľstva podľa § 12 možno počas krízovej situácie uskutočniť prostredníctvom videokonferencie alebo inými prostriedkami komunikačnej technológie. Z rokovania obecného zastupiteľstva podľa prvej vety obec vyhotoví obrazovo-zvukový alebo zvukový záznam, ktorý do 48 hodín po ukončení rokovania zverejní na webovom sídle obce, ak ho má zriadené, a do päť dní po ukončení rokovania v podobe zápisnice na úradnej tabuli obce a na webovom sídle obce, ak ho má zriadené. Obrazovo-zvukový alebo zvukový záznam podľa predchádzajúcej vety obec komukoľvek bezodkladne sprístupní po skončení rokovania. </w:t>
      </w:r>
    </w:p>
    <w:p w14:paraId="2FA1992E" w14:textId="77777777" w:rsidR="00EC5194" w:rsidRDefault="00EC5194" w:rsidP="003C06C7">
      <w:pPr>
        <w:spacing w:after="0" w:line="276" w:lineRule="auto"/>
        <w:ind w:right="113"/>
        <w:jc w:val="both"/>
      </w:pPr>
    </w:p>
    <w:p w14:paraId="657E3F65" w14:textId="77777777" w:rsidR="00E13E36" w:rsidRDefault="005C2F4B" w:rsidP="003C06C7">
      <w:pPr>
        <w:numPr>
          <w:ilvl w:val="0"/>
          <w:numId w:val="1"/>
        </w:numPr>
        <w:spacing w:after="0" w:line="276" w:lineRule="auto"/>
        <w:ind w:left="0" w:right="113" w:hanging="338"/>
        <w:jc w:val="both"/>
      </w:pPr>
      <w:r>
        <w:rPr>
          <w:rFonts w:ascii="Times New Roman" w:eastAsia="Times New Roman" w:hAnsi="Times New Roman" w:cs="Times New Roman"/>
          <w:sz w:val="24"/>
        </w:rPr>
        <w:t xml:space="preserve">Vo výnimočných prípadoch, keď existujú vážne dôvody, pre ktoré nie je možné uskutočniť rokovanie obecného zastupiteľstva podľa odseku 2 alebo podľa § 12, môže obecné zastupiteľstvo počas krízovej situácie prijať uznesenie korešpondenčným hlasovaním v listinnej podobe alebo hlasovaním prostredníctvom elektronických prostriedkov s použitím e-mailových adries poslancov, ktoré boli na tento účel preukázateľne oznámené, ak sa má hlasovanie uskutočniť prostredníctvom elektronickej pošty. Hlasovaním podľa prvej vety možno prijať uznesenie iba  </w:t>
      </w:r>
    </w:p>
    <w:p w14:paraId="3752F3B0" w14:textId="77777777" w:rsidR="00E13E36" w:rsidRDefault="005C2F4B" w:rsidP="003C06C7">
      <w:pPr>
        <w:numPr>
          <w:ilvl w:val="1"/>
          <w:numId w:val="1"/>
        </w:numPr>
        <w:spacing w:after="0" w:line="276" w:lineRule="auto"/>
        <w:ind w:left="0" w:right="113" w:hanging="360"/>
        <w:jc w:val="both"/>
      </w:pPr>
      <w:r>
        <w:rPr>
          <w:rFonts w:ascii="Times New Roman" w:eastAsia="Times New Roman" w:hAnsi="Times New Roman" w:cs="Times New Roman"/>
          <w:sz w:val="24"/>
        </w:rPr>
        <w:t xml:space="preserve">vo veciach bezprostredne súvisiacich so zabezpečením opatrení na riešenie krízovej situácie,  </w:t>
      </w:r>
    </w:p>
    <w:p w14:paraId="045B734B" w14:textId="77777777" w:rsidR="00E56B92" w:rsidRPr="00E56B92" w:rsidRDefault="005C2F4B" w:rsidP="003C06C7">
      <w:pPr>
        <w:numPr>
          <w:ilvl w:val="1"/>
          <w:numId w:val="1"/>
        </w:numPr>
        <w:spacing w:after="0" w:line="276" w:lineRule="auto"/>
        <w:ind w:left="0" w:right="113" w:hanging="360"/>
        <w:jc w:val="both"/>
      </w:pPr>
      <w:r>
        <w:rPr>
          <w:rFonts w:ascii="Times New Roman" w:eastAsia="Times New Roman" w:hAnsi="Times New Roman" w:cs="Times New Roman"/>
          <w:sz w:val="24"/>
        </w:rPr>
        <w:t>vo veciach, ktoré z dôvodu hroziacej škody neznesú odklad.</w:t>
      </w:r>
    </w:p>
    <w:p w14:paraId="4362BB3E" w14:textId="77777777" w:rsidR="00E13E36" w:rsidRPr="00EC5194" w:rsidRDefault="005C2F4B" w:rsidP="00E56B92">
      <w:pPr>
        <w:spacing w:after="0" w:line="276" w:lineRule="auto"/>
        <w:ind w:right="113"/>
        <w:jc w:val="both"/>
      </w:pPr>
      <w:r>
        <w:rPr>
          <w:rFonts w:ascii="Times New Roman" w:eastAsia="Times New Roman" w:hAnsi="Times New Roman" w:cs="Times New Roman"/>
          <w:sz w:val="24"/>
        </w:rPr>
        <w:t xml:space="preserve">  </w:t>
      </w:r>
    </w:p>
    <w:p w14:paraId="3DB61FCD" w14:textId="77777777" w:rsidR="00E13E36" w:rsidRDefault="005C2F4B" w:rsidP="003C06C7">
      <w:pPr>
        <w:numPr>
          <w:ilvl w:val="0"/>
          <w:numId w:val="1"/>
        </w:numPr>
        <w:spacing w:after="0" w:line="276" w:lineRule="auto"/>
        <w:ind w:left="0" w:right="113" w:hanging="338"/>
        <w:jc w:val="both"/>
      </w:pPr>
      <w:r>
        <w:rPr>
          <w:rFonts w:ascii="Times New Roman" w:eastAsia="Times New Roman" w:hAnsi="Times New Roman" w:cs="Times New Roman"/>
          <w:sz w:val="24"/>
        </w:rPr>
        <w:t xml:space="preserve">Obecné zastupiteľstvo </w:t>
      </w:r>
      <w:r w:rsidRPr="00EC5194">
        <w:rPr>
          <w:rFonts w:ascii="Times New Roman" w:eastAsia="Times New Roman" w:hAnsi="Times New Roman" w:cs="Times New Roman"/>
          <w:b/>
          <w:color w:val="auto"/>
          <w:sz w:val="24"/>
        </w:rPr>
        <w:t>nemôže</w:t>
      </w:r>
      <w:r>
        <w:rPr>
          <w:rFonts w:ascii="Times New Roman" w:eastAsia="Times New Roman" w:hAnsi="Times New Roman" w:cs="Times New Roman"/>
          <w:sz w:val="24"/>
        </w:rPr>
        <w:t xml:space="preserve"> hlasovaním podľa odseku 3 prijať uznesenie vo veciach: </w:t>
      </w:r>
    </w:p>
    <w:p w14:paraId="0EEED2FE" w14:textId="77777777" w:rsidR="00E13E36" w:rsidRPr="00E56B92" w:rsidRDefault="005C2F4B" w:rsidP="00E56B92">
      <w:pPr>
        <w:numPr>
          <w:ilvl w:val="1"/>
          <w:numId w:val="1"/>
        </w:numPr>
        <w:spacing w:after="0" w:line="276" w:lineRule="auto"/>
        <w:ind w:left="0" w:right="113" w:hanging="360"/>
        <w:jc w:val="both"/>
        <w:rPr>
          <w:color w:val="auto"/>
        </w:rPr>
      </w:pPr>
      <w:r w:rsidRPr="00E56B92">
        <w:rPr>
          <w:rFonts w:ascii="Times New Roman" w:eastAsia="Times New Roman" w:hAnsi="Times New Roman" w:cs="Times New Roman"/>
          <w:sz w:val="24"/>
        </w:rPr>
        <w:t xml:space="preserve">koncesnej zmluvy na uskutočnenie stavebných prác alebo koncesných zmlúv na poskytnutie služby uzatvorenej podľa osobitného predpisu,21) </w:t>
      </w:r>
      <w:r w:rsidR="00E56B92" w:rsidRPr="00E56B92">
        <w:rPr>
          <w:rFonts w:ascii="Times New Roman" w:eastAsia="Times New Roman" w:hAnsi="Times New Roman" w:cs="Times New Roman"/>
          <w:color w:val="auto"/>
          <w:sz w:val="24"/>
        </w:rPr>
        <w:t>§</w:t>
      </w:r>
      <w:r w:rsidRPr="00E56B92">
        <w:rPr>
          <w:rFonts w:ascii="Times New Roman" w:eastAsia="Times New Roman" w:hAnsi="Times New Roman" w:cs="Times New Roman"/>
          <w:color w:val="auto"/>
          <w:sz w:val="24"/>
        </w:rPr>
        <w:t>9 ods. 2 písm. g) zákona č. 138/1991 Zb. zákon o majetku obcí v znení neskorších predpisov: koncesné zmluvy na uskutočnenie stavebných prác alebo koncesné zmluvy na poskytnutie služby uzatvorené podľa osobitného predpisu</w:t>
      </w:r>
      <w:hyperlink r:id="rId15" w:anchor="poznamky.poznamka-22ab">
        <w:r w:rsidRPr="00E56B92">
          <w:rPr>
            <w:rFonts w:ascii="Times New Roman" w:eastAsia="Times New Roman" w:hAnsi="Times New Roman" w:cs="Times New Roman"/>
            <w:color w:val="auto"/>
            <w:sz w:val="24"/>
            <w:vertAlign w:val="superscript"/>
          </w:rPr>
          <w:t>22ab</w:t>
        </w:r>
      </w:hyperlink>
      <w:hyperlink r:id="rId16" w:anchor="poznamky.poznamka-22ab">
        <w:r w:rsidRPr="00E56B92">
          <w:rPr>
            <w:rFonts w:ascii="Times New Roman" w:eastAsia="Times New Roman" w:hAnsi="Times New Roman" w:cs="Times New Roman"/>
            <w:color w:val="auto"/>
            <w:sz w:val="24"/>
          </w:rPr>
          <w:t xml:space="preserve">) </w:t>
        </w:r>
      </w:hyperlink>
      <w:r w:rsidRPr="00E56B92">
        <w:rPr>
          <w:rFonts w:ascii="Times New Roman" w:eastAsia="Times New Roman" w:hAnsi="Times New Roman" w:cs="Times New Roman"/>
          <w:color w:val="auto"/>
          <w:sz w:val="24"/>
        </w:rPr>
        <w:t xml:space="preserve">(ďalej len „koncesná zmluva“), a to trojpätinovou väčšinou všetkých poslancov) </w:t>
      </w:r>
    </w:p>
    <w:p w14:paraId="7B2113BD" w14:textId="77777777" w:rsidR="00E13E36" w:rsidRPr="00E56B92" w:rsidRDefault="005C2F4B" w:rsidP="00E56B92">
      <w:pPr>
        <w:numPr>
          <w:ilvl w:val="1"/>
          <w:numId w:val="1"/>
        </w:numPr>
        <w:spacing w:after="0" w:line="276" w:lineRule="auto"/>
        <w:ind w:left="0" w:right="113" w:hanging="360"/>
        <w:jc w:val="both"/>
        <w:rPr>
          <w:color w:val="auto"/>
        </w:rPr>
      </w:pPr>
      <w:r w:rsidRPr="00E56B92">
        <w:rPr>
          <w:rFonts w:ascii="Times New Roman" w:eastAsia="Times New Roman" w:hAnsi="Times New Roman" w:cs="Times New Roman"/>
          <w:sz w:val="24"/>
        </w:rPr>
        <w:t xml:space="preserve">priameho predaja podľa osobitného predpisu,22) </w:t>
      </w:r>
      <w:r w:rsidR="00E56B92" w:rsidRPr="00E56B92">
        <w:rPr>
          <w:rFonts w:ascii="Times New Roman" w:eastAsia="Times New Roman" w:hAnsi="Times New Roman" w:cs="Times New Roman"/>
          <w:color w:val="auto"/>
          <w:sz w:val="24"/>
        </w:rPr>
        <w:t>§</w:t>
      </w:r>
      <w:r w:rsidRPr="00E56B92">
        <w:rPr>
          <w:rFonts w:ascii="Times New Roman" w:eastAsia="Times New Roman" w:hAnsi="Times New Roman" w:cs="Times New Roman"/>
          <w:color w:val="auto"/>
          <w:sz w:val="24"/>
        </w:rPr>
        <w:t xml:space="preserve">9a ods. 1 písm. c) zákona č. 138/1991 Zb. o majetku obcí v znení neskorších predpisov: </w:t>
      </w:r>
      <w:r w:rsidRPr="00E56B92">
        <w:rPr>
          <w:rFonts w:ascii="Times New Roman" w:eastAsia="Times New Roman" w:hAnsi="Times New Roman" w:cs="Times New Roman"/>
          <w:i/>
          <w:color w:val="auto"/>
          <w:sz w:val="24"/>
        </w:rPr>
        <w:t>Ide</w:t>
      </w:r>
      <w:r w:rsidRPr="00E56B92">
        <w:rPr>
          <w:rFonts w:ascii="Times New Roman" w:eastAsia="Times New Roman" w:hAnsi="Times New Roman" w:cs="Times New Roman"/>
          <w:color w:val="auto"/>
          <w:sz w:val="24"/>
        </w:rPr>
        <w:t xml:space="preserve"> o </w:t>
      </w:r>
      <w:r w:rsidRPr="00E56B92">
        <w:rPr>
          <w:rFonts w:ascii="Times New Roman" w:eastAsia="Times New Roman" w:hAnsi="Times New Roman" w:cs="Times New Roman"/>
          <w:i/>
          <w:color w:val="auto"/>
          <w:sz w:val="24"/>
        </w:rPr>
        <w:t>prevod vlastníctva majetku obce priamym predajom najmenej za cenu vo výške všeobecnej hodnoty majetku stanovenej podľa osobitného predpisu.22d</w:t>
      </w:r>
      <w:r w:rsidRPr="00E56B92">
        <w:rPr>
          <w:rFonts w:ascii="Times New Roman" w:eastAsia="Times New Roman" w:hAnsi="Times New Roman" w:cs="Times New Roman"/>
          <w:color w:val="auto"/>
          <w:sz w:val="24"/>
        </w:rPr>
        <w:t>)</w:t>
      </w:r>
      <w:r w:rsidRPr="00E56B92">
        <w:rPr>
          <w:rFonts w:ascii="Times New Roman" w:eastAsia="Times New Roman" w:hAnsi="Times New Roman" w:cs="Times New Roman"/>
          <w:i/>
          <w:color w:val="auto"/>
          <w:sz w:val="24"/>
        </w:rPr>
        <w:t xml:space="preserve"> </w:t>
      </w:r>
    </w:p>
    <w:p w14:paraId="3EFF4614" w14:textId="77777777" w:rsidR="00E13E36" w:rsidRPr="00EC5194" w:rsidRDefault="005C2F4B" w:rsidP="00E56B92">
      <w:pPr>
        <w:spacing w:after="0" w:line="276" w:lineRule="auto"/>
        <w:ind w:right="113"/>
        <w:jc w:val="both"/>
        <w:rPr>
          <w:color w:val="auto"/>
        </w:rPr>
      </w:pPr>
      <w:r w:rsidRPr="00E56B92">
        <w:rPr>
          <w:rFonts w:ascii="Times New Roman" w:eastAsia="Times New Roman" w:hAnsi="Times New Roman" w:cs="Times New Roman"/>
          <w:sz w:val="24"/>
        </w:rPr>
        <w:t xml:space="preserve">prevodu majetku obce alebo nájmu majetku obce z dôvodu hodného osobitného zreteľa podľa osobitného predpisu,23) </w:t>
      </w:r>
      <w:r w:rsidR="00E56B92" w:rsidRPr="00E56B92">
        <w:rPr>
          <w:rFonts w:ascii="Times New Roman" w:eastAsia="Times New Roman" w:hAnsi="Times New Roman" w:cs="Times New Roman"/>
          <w:color w:val="auto"/>
          <w:sz w:val="24"/>
        </w:rPr>
        <w:t>§</w:t>
      </w:r>
      <w:r w:rsidRPr="00E56B92">
        <w:rPr>
          <w:rFonts w:ascii="Times New Roman" w:eastAsia="Times New Roman" w:hAnsi="Times New Roman" w:cs="Times New Roman"/>
          <w:color w:val="auto"/>
          <w:sz w:val="24"/>
        </w:rPr>
        <w:t xml:space="preserve">9a ods. 8 písm. e) a § 9a ods. 9 písm. c) zákona č. 138/1991 Zb. v znení neskorších predpisov: </w:t>
      </w:r>
      <w:r w:rsidRPr="00EC5194">
        <w:rPr>
          <w:rFonts w:ascii="Times New Roman" w:eastAsia="Times New Roman" w:hAnsi="Times New Roman" w:cs="Times New Roman"/>
          <w:color w:val="auto"/>
          <w:sz w:val="24"/>
        </w:rPr>
        <w:t xml:space="preserve">§ 9a ods. 8 písm. e) :  </w:t>
      </w:r>
    </w:p>
    <w:p w14:paraId="62303006"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pri prevodoch majetku obce z dôvodu hodného osobitného zreteľa, o ktorých obecné zastupiteľstvo rozhodne trojpätinovou väčšinou všetkých poslancov, pričom osobitný zreteľ musí byť zdôvodnený; zámer previesť majetok týmto spôsobom je obec povinná zverejniť najmenej 15 dní pred schvaľovaním prevodu obecným zastupiteľstvom na svojej úradnej tabuli a na svojej internetovej stránke, ak ju má obec zriadenú, pričom tento zámer musí byť zverejnený počas celej tejto doby,</w:t>
      </w:r>
      <w:r w:rsidRPr="00EC5194">
        <w:rPr>
          <w:rFonts w:ascii="Times New Roman" w:eastAsia="Times New Roman" w:hAnsi="Times New Roman" w:cs="Times New Roman"/>
          <w:color w:val="auto"/>
          <w:sz w:val="24"/>
        </w:rPr>
        <w:t xml:space="preserve"> </w:t>
      </w:r>
    </w:p>
    <w:p w14:paraId="6DAF504F" w14:textId="77777777" w:rsidR="00E13E36" w:rsidRPr="00EC5194" w:rsidRDefault="005C2F4B" w:rsidP="00E56B92">
      <w:pPr>
        <w:spacing w:after="0" w:line="276" w:lineRule="auto"/>
        <w:ind w:right="113" w:hanging="10"/>
        <w:jc w:val="both"/>
        <w:rPr>
          <w:color w:val="auto"/>
        </w:rPr>
      </w:pPr>
      <w:r w:rsidRPr="00EC5194">
        <w:rPr>
          <w:rFonts w:ascii="Times New Roman" w:eastAsia="Times New Roman" w:hAnsi="Times New Roman" w:cs="Times New Roman"/>
          <w:color w:val="auto"/>
          <w:sz w:val="24"/>
        </w:rPr>
        <w:t>a a § 9a ods. 9 písm. c):</w:t>
      </w:r>
      <w:r w:rsidRPr="00EC5194">
        <w:rPr>
          <w:rFonts w:ascii="Times New Roman" w:eastAsia="Times New Roman" w:hAnsi="Times New Roman" w:cs="Times New Roman"/>
          <w:color w:val="auto"/>
          <w:sz w:val="21"/>
        </w:rPr>
        <w:t xml:space="preserve"> </w:t>
      </w:r>
    </w:p>
    <w:p w14:paraId="79A8E9BF" w14:textId="77777777" w:rsidR="00E13E36" w:rsidRPr="00EC5194" w:rsidRDefault="005C2F4B" w:rsidP="003C06C7">
      <w:pPr>
        <w:spacing w:after="0" w:line="276" w:lineRule="auto"/>
        <w:ind w:right="113" w:hanging="10"/>
        <w:jc w:val="both"/>
        <w:rPr>
          <w:color w:val="auto"/>
        </w:rPr>
      </w:pPr>
      <w:r w:rsidRPr="00EC5194">
        <w:rPr>
          <w:rFonts w:ascii="Times New Roman" w:eastAsia="Times New Roman" w:hAnsi="Times New Roman" w:cs="Times New Roman"/>
          <w:i/>
          <w:color w:val="auto"/>
          <w:sz w:val="24"/>
        </w:rPr>
        <w:t xml:space="preserve">pri nájmoch majetku obce z dôvodu hodného osobitného zreteľa, o ktorých obecné zastupiteľstvo rozhodne trojpätinovou väčšinou všetkých poslancov, pričom osobitný zreteľ musí byť zdôvodnený; zámer prenajať majetok týmto spôsobom je obec povinná zverejniť najmenej 15 dní pred schvaľovaním nájmu obecným zastupiteľstvom na svojej úradnej tabuli a na svojej internetovej stránke, ak ju má obec zriadenú, pričom tento zámer musí byť zverejnený počas celej tejto doby. </w:t>
      </w:r>
    </w:p>
    <w:p w14:paraId="601C38C0"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t xml:space="preserve">obchodnej verejnej súťaže,24) </w:t>
      </w:r>
    </w:p>
    <w:p w14:paraId="35B9FB09" w14:textId="77777777" w:rsidR="00E13E36" w:rsidRPr="00EC5194" w:rsidRDefault="005C2F4B" w:rsidP="003C06C7">
      <w:pPr>
        <w:spacing w:after="0" w:line="276" w:lineRule="auto"/>
        <w:ind w:right="113" w:hanging="10"/>
        <w:jc w:val="both"/>
        <w:rPr>
          <w:i/>
          <w:iCs/>
          <w:color w:val="auto"/>
        </w:rPr>
      </w:pPr>
      <w:r w:rsidRPr="00EC5194">
        <w:rPr>
          <w:rFonts w:ascii="Times New Roman" w:eastAsia="Times New Roman" w:hAnsi="Times New Roman" w:cs="Times New Roman"/>
          <w:i/>
          <w:iCs/>
          <w:color w:val="auto"/>
          <w:sz w:val="24"/>
        </w:rPr>
        <w:t xml:space="preserve">(§ 281 až 288 Obchodného zákonníka) </w:t>
      </w:r>
    </w:p>
    <w:p w14:paraId="3AE06794"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t xml:space="preserve">dobrovoľnej dražby,25) </w:t>
      </w:r>
    </w:p>
    <w:p w14:paraId="4DF27467" w14:textId="77777777" w:rsidR="00E13E36" w:rsidRPr="00EC5194" w:rsidRDefault="005C2F4B" w:rsidP="003C06C7">
      <w:pPr>
        <w:spacing w:after="0" w:line="276" w:lineRule="auto"/>
        <w:ind w:right="113" w:hanging="10"/>
        <w:jc w:val="both"/>
        <w:rPr>
          <w:i/>
          <w:iCs/>
          <w:color w:val="auto"/>
        </w:rPr>
      </w:pPr>
      <w:r w:rsidRPr="00EC5194">
        <w:rPr>
          <w:rFonts w:ascii="Times New Roman" w:eastAsia="Times New Roman" w:hAnsi="Times New Roman" w:cs="Times New Roman"/>
          <w:i/>
          <w:iCs/>
          <w:color w:val="auto"/>
          <w:sz w:val="24"/>
        </w:rPr>
        <w:t xml:space="preserve">(Zákon č. 527/2002 Z. z. o dobrovoľných dražbách a o doplnení zákona Slovenskej národnej rady č. 323/1992 Zb. o notároch a notárskej činnosti (Notársky poriadok) v znení neskorších predpisov v znení neskorších predpisov) </w:t>
      </w:r>
    </w:p>
    <w:p w14:paraId="696872E0"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t xml:space="preserve">prijatia investičného úveru, </w:t>
      </w:r>
    </w:p>
    <w:p w14:paraId="670BE4F2"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t xml:space="preserve">prevodu hnuteľnej veci nad hodnotu určenú osobitným predpisom, </w:t>
      </w:r>
    </w:p>
    <w:p w14:paraId="4E5B157E"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t xml:space="preserve">prenájmu majetku obce na dobu neurčitú alebo na dobu určitú na čas dlhší ako tri mesiace s výnimkou prenájmu nájomného bytu, </w:t>
      </w:r>
    </w:p>
    <w:p w14:paraId="17546D19" w14:textId="77777777" w:rsidR="00E13E36" w:rsidRDefault="005C2F4B" w:rsidP="003C06C7">
      <w:pPr>
        <w:numPr>
          <w:ilvl w:val="0"/>
          <w:numId w:val="4"/>
        </w:numPr>
        <w:spacing w:after="0" w:line="276" w:lineRule="auto"/>
        <w:ind w:left="0" w:right="113" w:hanging="360"/>
        <w:jc w:val="both"/>
      </w:pPr>
      <w:r>
        <w:rPr>
          <w:rFonts w:ascii="Times New Roman" w:eastAsia="Times New Roman" w:hAnsi="Times New Roman" w:cs="Times New Roman"/>
          <w:sz w:val="24"/>
        </w:rPr>
        <w:lastRenderedPageBreak/>
        <w:t xml:space="preserve">kúpy majetku do vlastníctva obce, ak je ku kúpe potrebný súhlas obecného zastupiteľstva s výnimkou obstarania majetku vyplývajúceho z implementácie projektu financovaného z Európskych štrukturálnych a investičných fondov.26) </w:t>
      </w:r>
    </w:p>
    <w:p w14:paraId="1CEA2842" w14:textId="77777777" w:rsidR="00E13E36" w:rsidRDefault="005C2F4B" w:rsidP="003C06C7">
      <w:pPr>
        <w:spacing w:after="0" w:line="276" w:lineRule="auto"/>
        <w:ind w:right="113" w:hanging="10"/>
        <w:jc w:val="both"/>
        <w:rPr>
          <w:rFonts w:ascii="Times New Roman" w:eastAsia="Times New Roman" w:hAnsi="Times New Roman" w:cs="Times New Roman"/>
          <w:i/>
          <w:iCs/>
          <w:color w:val="auto"/>
          <w:sz w:val="24"/>
        </w:rPr>
      </w:pPr>
      <w:r w:rsidRPr="00EC5194">
        <w:rPr>
          <w:rFonts w:ascii="Times New Roman" w:eastAsia="Times New Roman" w:hAnsi="Times New Roman" w:cs="Times New Roman"/>
          <w:i/>
          <w:iCs/>
          <w:color w:val="auto"/>
          <w:sz w:val="24"/>
        </w:rPr>
        <w:t xml:space="preserve">(Napríklad zákon č. 323/2015 Z. z. o finančných nástrojoch financovaných z európskych štrukturálnych a investičných fondov a o zmene a doplnení niektorých zákonov v znení neskorších predpisov) </w:t>
      </w:r>
    </w:p>
    <w:p w14:paraId="5E172D16" w14:textId="77777777" w:rsidR="00EC5194" w:rsidRPr="00E56B92" w:rsidRDefault="00EC5194" w:rsidP="003C06C7">
      <w:pPr>
        <w:spacing w:after="0" w:line="276" w:lineRule="auto"/>
        <w:ind w:right="113" w:hanging="10"/>
        <w:jc w:val="both"/>
        <w:rPr>
          <w:color w:val="auto"/>
          <w:sz w:val="16"/>
          <w:szCs w:val="16"/>
        </w:rPr>
      </w:pPr>
    </w:p>
    <w:p w14:paraId="3A299F47" w14:textId="77777777" w:rsidR="00E13E36" w:rsidRDefault="005C2F4B" w:rsidP="003C06C7">
      <w:pPr>
        <w:numPr>
          <w:ilvl w:val="0"/>
          <w:numId w:val="5"/>
        </w:numPr>
        <w:spacing w:after="0" w:line="276" w:lineRule="auto"/>
        <w:ind w:left="0" w:right="113" w:hanging="10"/>
        <w:jc w:val="both"/>
      </w:pPr>
      <w:r>
        <w:rPr>
          <w:rFonts w:ascii="Times New Roman" w:eastAsia="Times New Roman" w:hAnsi="Times New Roman" w:cs="Times New Roman"/>
          <w:sz w:val="24"/>
        </w:rPr>
        <w:t xml:space="preserve">Návrh uznesenia so všetkými súvisiacimi dokumentmi obec zverejní na úradnej tabuli obce a na webovom sídle obce, ak ho má zriadené, a doručí  poslancom najmenej päť pracovných dní pred uskutočnením hlasovania podľa odseku 3.  </w:t>
      </w:r>
    </w:p>
    <w:p w14:paraId="69D02B0D" w14:textId="77777777" w:rsidR="00E13E36" w:rsidRDefault="005C2F4B" w:rsidP="003C06C7">
      <w:pPr>
        <w:spacing w:after="0" w:line="276" w:lineRule="auto"/>
        <w:ind w:right="113"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Obec rovnakým spôsobom zverejní dôvody podľa odseku 3 prvej vety a uvedie, či ide o postup podľa odseku 3 druhej vety písm. a) alebo b). Spolu s návrhom uznesenia obec informuje poslancov o spôsobe a o forme podávania a schvaľovania pozmeňujúcich a doplňujúcich návrhov a o spôsobe hlasovania o návrhu uznesenia a tieto informácie zverejní na úradnej tabuli a webovom sídle obce, ak ho má zriadené. Podané pozmeňujúce a doplňujúce návrhy obec zverejní na úradnej tabuli obce a na webovom sídle obce, ak ho má zriadené, a doručí ich poslancom najmenej dva pracovné dni pred uskutočnením hlasovania podľa odseku 3. V lehote podľa predchádzajúcej vety obec na úradnej tabuli obce a na webovom sídle obce, ak ho má zriadené, zverejní a doručí poslancom aj všetky pripomienky verejnosti k návrhu uznesenia, ktoré jej boli doručené. O návrhoch uznesení a o pozmeňujúcich a doplňujúcich návrhoch, ktoré neboli zverejnené a doručené poslancom v lehotách a spôsobom podľa tohto odseku, nie je možné hlasovať. Na prijatie uznesenia je potrebný súhlas nadpolovičnej väčšiny všetkých poslancov, ak tento alebo iný zákon neustanovuje pre schválenie uznesenia vyššie kvórum. Na prijatie nariadenia je potrebný súhlas trojpätinovej väčšiny všetkých poslancov. Na prijatie pozmeňujúceho alebo doplňujúceho návrhu je potrebná taká väčšina hlasov poslancov, aká sa vyžaduje na prijatie uznesenia alebo nariadenia, ktorého sa týkajú. Prijaté uznesenie spolu s informáciou o menovitom hlasovaní poslancov o pozmeňujúcich a doplňujúcich návrhoch a o návrhu uznesenia zverejní obec na úradnej tabuli obce a na webovom sídle obce, ak ho má zriadené, najneskôr v najbližší pracovný deň nasledujúci po uskutočnení hlasovania podľa odseku 3. </w:t>
      </w:r>
    </w:p>
    <w:p w14:paraId="72107DC4" w14:textId="77777777" w:rsidR="00007C0A" w:rsidRDefault="00007C0A" w:rsidP="003C06C7">
      <w:pPr>
        <w:spacing w:after="0" w:line="276" w:lineRule="auto"/>
        <w:ind w:right="113" w:hanging="10"/>
        <w:jc w:val="both"/>
        <w:rPr>
          <w:rFonts w:ascii="Times New Roman" w:eastAsia="Times New Roman" w:hAnsi="Times New Roman" w:cs="Times New Roman"/>
          <w:sz w:val="24"/>
        </w:rPr>
      </w:pPr>
    </w:p>
    <w:p w14:paraId="7DB5C58E" w14:textId="77777777" w:rsidR="00007C0A" w:rsidRDefault="00007C0A" w:rsidP="003C06C7">
      <w:pPr>
        <w:spacing w:after="0" w:line="276" w:lineRule="auto"/>
        <w:ind w:right="113" w:hanging="10"/>
        <w:jc w:val="center"/>
        <w:rPr>
          <w:rFonts w:ascii="Times New Roman" w:eastAsia="Times New Roman" w:hAnsi="Times New Roman" w:cs="Times New Roman"/>
          <w:b/>
          <w:bCs/>
          <w:sz w:val="28"/>
          <w:szCs w:val="28"/>
        </w:rPr>
      </w:pPr>
      <w:r w:rsidRPr="00EC5194">
        <w:rPr>
          <w:rFonts w:ascii="Times New Roman" w:eastAsia="Times New Roman" w:hAnsi="Times New Roman" w:cs="Times New Roman"/>
          <w:b/>
          <w:bCs/>
          <w:sz w:val="28"/>
          <w:szCs w:val="28"/>
        </w:rPr>
        <w:t xml:space="preserve">Článok </w:t>
      </w:r>
      <w:r>
        <w:rPr>
          <w:rFonts w:ascii="Times New Roman" w:eastAsia="Times New Roman" w:hAnsi="Times New Roman" w:cs="Times New Roman"/>
          <w:b/>
          <w:bCs/>
          <w:sz w:val="28"/>
          <w:szCs w:val="28"/>
        </w:rPr>
        <w:t>3</w:t>
      </w:r>
    </w:p>
    <w:p w14:paraId="4168D471" w14:textId="77777777" w:rsidR="00007C0A" w:rsidRPr="00007C0A" w:rsidRDefault="00007C0A" w:rsidP="003C06C7">
      <w:pPr>
        <w:spacing w:after="0" w:line="276" w:lineRule="auto"/>
        <w:ind w:right="113" w:hanging="10"/>
        <w:jc w:val="both"/>
        <w:rPr>
          <w:rFonts w:ascii="Times New Roman" w:eastAsia="Times New Roman" w:hAnsi="Times New Roman" w:cs="Times New Roman"/>
          <w:sz w:val="28"/>
          <w:szCs w:val="28"/>
        </w:rPr>
      </w:pPr>
    </w:p>
    <w:p w14:paraId="6DAAD6A1"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r>
        <w:rPr>
          <w:rFonts w:ascii="Times New Roman" w:eastAsia="Times New Roman" w:hAnsi="Times New Roman" w:cs="Times New Roman"/>
          <w:sz w:val="24"/>
        </w:rPr>
        <w:t xml:space="preserve">       (1)     Tento dodatok č.1 k Rokovaciemu poriadku Obecného zastupiteľstva bol </w:t>
      </w:r>
    </w:p>
    <w:p w14:paraId="4DF8C7B0" w14:textId="5398BF04"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r>
        <w:rPr>
          <w:rFonts w:ascii="Times New Roman" w:eastAsia="Times New Roman" w:hAnsi="Times New Roman" w:cs="Times New Roman"/>
          <w:sz w:val="24"/>
        </w:rPr>
        <w:t xml:space="preserve">                schválený obecným  zastupiteľstvom   Bzince pod Javorinou uznesením č.  </w:t>
      </w:r>
      <w:r w:rsidR="00E14947">
        <w:rPr>
          <w:rFonts w:ascii="Times New Roman" w:eastAsia="Times New Roman" w:hAnsi="Times New Roman" w:cs="Times New Roman"/>
          <w:sz w:val="24"/>
        </w:rPr>
        <w:t>52</w:t>
      </w:r>
      <w:r>
        <w:rPr>
          <w:rFonts w:ascii="Times New Roman" w:eastAsia="Times New Roman" w:hAnsi="Times New Roman" w:cs="Times New Roman"/>
          <w:sz w:val="24"/>
        </w:rPr>
        <w:t xml:space="preserve">/2020  </w:t>
      </w:r>
    </w:p>
    <w:p w14:paraId="5C1185AD"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r>
        <w:rPr>
          <w:rFonts w:ascii="Times New Roman" w:eastAsia="Times New Roman" w:hAnsi="Times New Roman" w:cs="Times New Roman"/>
          <w:sz w:val="24"/>
        </w:rPr>
        <w:t xml:space="preserve">                zo dňa 12.8.2020.</w:t>
      </w:r>
    </w:p>
    <w:p w14:paraId="2742166A"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p>
    <w:p w14:paraId="2D62AECF"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p>
    <w:p w14:paraId="3DD90DEC"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r>
        <w:rPr>
          <w:rFonts w:ascii="Times New Roman" w:eastAsia="Times New Roman" w:hAnsi="Times New Roman" w:cs="Times New Roman"/>
          <w:sz w:val="24"/>
        </w:rPr>
        <w:t>V Bzinciach pod Javorinou</w:t>
      </w:r>
    </w:p>
    <w:p w14:paraId="4AF7DE97"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r>
        <w:rPr>
          <w:rFonts w:ascii="Times New Roman" w:eastAsia="Times New Roman" w:hAnsi="Times New Roman" w:cs="Times New Roman"/>
          <w:sz w:val="24"/>
        </w:rPr>
        <w:t>Dňa 12.8.2020</w:t>
      </w:r>
    </w:p>
    <w:p w14:paraId="2223281D"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p>
    <w:p w14:paraId="39C6B189"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p>
    <w:p w14:paraId="169595CF" w14:textId="77777777" w:rsidR="00007C0A" w:rsidRDefault="00007C0A" w:rsidP="003C06C7">
      <w:pPr>
        <w:tabs>
          <w:tab w:val="left" w:pos="522"/>
        </w:tabs>
        <w:spacing w:after="0" w:line="249" w:lineRule="exact"/>
        <w:ind w:right="113"/>
        <w:jc w:val="both"/>
        <w:rPr>
          <w:rFonts w:ascii="Times New Roman" w:eastAsia="Times New Roman" w:hAnsi="Times New Roman" w:cs="Times New Roman"/>
          <w:sz w:val="24"/>
        </w:rPr>
      </w:pPr>
    </w:p>
    <w:p w14:paraId="03A0F328" w14:textId="77777777" w:rsidR="00007C0A" w:rsidRDefault="00007C0A" w:rsidP="003C06C7">
      <w:pPr>
        <w:tabs>
          <w:tab w:val="left" w:pos="522"/>
        </w:tabs>
        <w:spacing w:after="0" w:line="249" w:lineRule="exact"/>
        <w:ind w:right="113"/>
        <w:jc w:val="center"/>
        <w:rPr>
          <w:rFonts w:ascii="Times New Roman" w:eastAsia="Times New Roman" w:hAnsi="Times New Roman" w:cs="Times New Roman"/>
          <w:sz w:val="24"/>
        </w:rPr>
      </w:pPr>
      <w:r>
        <w:rPr>
          <w:rFonts w:ascii="Times New Roman" w:eastAsia="Times New Roman" w:hAnsi="Times New Roman" w:cs="Times New Roman"/>
          <w:sz w:val="24"/>
        </w:rPr>
        <w:t xml:space="preserve">                                                                                Ing. Dušan Málik</w:t>
      </w:r>
    </w:p>
    <w:p w14:paraId="509CE78C" w14:textId="77777777" w:rsidR="00007C0A" w:rsidRDefault="00007C0A" w:rsidP="003C06C7">
      <w:pPr>
        <w:tabs>
          <w:tab w:val="left" w:pos="522"/>
        </w:tabs>
        <w:spacing w:after="0" w:line="249" w:lineRule="exact"/>
        <w:ind w:right="113"/>
        <w:jc w:val="center"/>
        <w:rPr>
          <w:rFonts w:ascii="Times New Roman" w:eastAsia="Times New Roman" w:hAnsi="Times New Roman" w:cs="Times New Roman"/>
          <w:sz w:val="24"/>
        </w:rPr>
      </w:pPr>
      <w:r>
        <w:rPr>
          <w:rFonts w:ascii="Times New Roman" w:eastAsia="Times New Roman" w:hAnsi="Times New Roman" w:cs="Times New Roman"/>
          <w:sz w:val="24"/>
        </w:rPr>
        <w:t xml:space="preserve">                                                                                 Starosta</w:t>
      </w:r>
    </w:p>
    <w:sectPr w:rsidR="00007C0A" w:rsidSect="00007C0A">
      <w:headerReference w:type="even" r:id="rId17"/>
      <w:headerReference w:type="default" r:id="rId18"/>
      <w:footerReference w:type="even" r:id="rId19"/>
      <w:footerReference w:type="default" r:id="rId20"/>
      <w:headerReference w:type="first" r:id="rId21"/>
      <w:footerReference w:type="first" r:id="rId22"/>
      <w:pgSz w:w="11904" w:h="16840"/>
      <w:pgMar w:top="1560" w:right="46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98CAD" w14:textId="77777777" w:rsidR="00AF146E" w:rsidRDefault="00AF146E">
      <w:pPr>
        <w:spacing w:after="0" w:line="240" w:lineRule="auto"/>
      </w:pPr>
      <w:r>
        <w:separator/>
      </w:r>
    </w:p>
  </w:endnote>
  <w:endnote w:type="continuationSeparator" w:id="0">
    <w:p w14:paraId="4D042A97" w14:textId="77777777" w:rsidR="00AF146E" w:rsidRDefault="00AF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72EC2" w14:textId="77777777" w:rsidR="00E13E36" w:rsidRDefault="005C2F4B">
    <w:pPr>
      <w:tabs>
        <w:tab w:val="center" w:pos="1890"/>
        <w:tab w:val="center" w:pos="10304"/>
      </w:tabs>
      <w:spacing w:after="0"/>
    </w:pPr>
    <w:r>
      <w:rPr>
        <w:noProof/>
      </w:rPr>
      <mc:AlternateContent>
        <mc:Choice Requires="wpg">
          <w:drawing>
            <wp:anchor distT="0" distB="0" distL="114300" distR="114300" simplePos="0" relativeHeight="251661312" behindDoc="0" locked="0" layoutInCell="1" allowOverlap="1" wp14:anchorId="7A0173D9" wp14:editId="24C64452">
              <wp:simplePos x="0" y="0"/>
              <wp:positionH relativeFrom="page">
                <wp:posOffset>725805</wp:posOffset>
              </wp:positionH>
              <wp:positionV relativeFrom="page">
                <wp:posOffset>10122535</wp:posOffset>
              </wp:positionV>
              <wp:extent cx="6280151" cy="28892"/>
              <wp:effectExtent l="0" t="0" r="0" b="0"/>
              <wp:wrapNone/>
              <wp:docPr id="7062" name="Group 7062"/>
              <wp:cNvGraphicFramePr/>
              <a:graphic xmlns:a="http://schemas.openxmlformats.org/drawingml/2006/main">
                <a:graphicData uri="http://schemas.microsoft.com/office/word/2010/wordprocessingGroup">
                  <wpg:wgp>
                    <wpg:cNvGrpSpPr/>
                    <wpg:grpSpPr>
                      <a:xfrm>
                        <a:off x="0" y="0"/>
                        <a:ext cx="6280151" cy="28892"/>
                        <a:chOff x="0" y="0"/>
                        <a:chExt cx="6280151" cy="28892"/>
                      </a:xfrm>
                    </wpg:grpSpPr>
                    <wps:wsp>
                      <wps:cNvPr id="7063" name="Shape 7063"/>
                      <wps:cNvSpPr/>
                      <wps:spPr>
                        <a:xfrm>
                          <a:off x="31382" y="20091"/>
                          <a:ext cx="6217399" cy="8801"/>
                        </a:xfrm>
                        <a:custGeom>
                          <a:avLst/>
                          <a:gdLst/>
                          <a:ahLst/>
                          <a:cxnLst/>
                          <a:rect l="0" t="0" r="0" b="0"/>
                          <a:pathLst>
                            <a:path w="6217399" h="8801">
                              <a:moveTo>
                                <a:pt x="0" y="8801"/>
                              </a:moveTo>
                              <a:lnTo>
                                <a:pt x="6217399" y="0"/>
                              </a:lnTo>
                            </a:path>
                          </a:pathLst>
                        </a:custGeom>
                        <a:ln w="25400" cap="flat">
                          <a:round/>
                        </a:ln>
                      </wps:spPr>
                      <wps:style>
                        <a:lnRef idx="1">
                          <a:srgbClr val="000000">
                            <a:alpha val="23137"/>
                          </a:srgbClr>
                        </a:lnRef>
                        <a:fillRef idx="0">
                          <a:srgbClr val="000000">
                            <a:alpha val="0"/>
                          </a:srgbClr>
                        </a:fillRef>
                        <a:effectRef idx="0">
                          <a:scrgbClr r="0" g="0" b="0"/>
                        </a:effectRef>
                        <a:fontRef idx="none"/>
                      </wps:style>
                      <wps:bodyPr/>
                    </wps:wsp>
                    <wps:wsp>
                      <wps:cNvPr id="7064" name="Shape 7064"/>
                      <wps:cNvSpPr/>
                      <wps:spPr>
                        <a:xfrm>
                          <a:off x="0" y="0"/>
                          <a:ext cx="6280151" cy="8890"/>
                        </a:xfrm>
                        <a:custGeom>
                          <a:avLst/>
                          <a:gdLst/>
                          <a:ahLst/>
                          <a:cxnLst/>
                          <a:rect l="0" t="0" r="0" b="0"/>
                          <a:pathLst>
                            <a:path w="6280151" h="8890">
                              <a:moveTo>
                                <a:pt x="0" y="8890"/>
                              </a:moveTo>
                              <a:lnTo>
                                <a:pt x="6280151" y="0"/>
                              </a:lnTo>
                            </a:path>
                          </a:pathLst>
                        </a:custGeom>
                        <a:ln w="25400" cap="flat">
                          <a:round/>
                        </a:ln>
                      </wps:spPr>
                      <wps:style>
                        <a:lnRef idx="1">
                          <a:srgbClr val="558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62" style="width:494.5pt;height:2.27496pt;position:absolute;z-index:18;mso-position-horizontal-relative:page;mso-position-horizontal:absolute;margin-left:57.15pt;mso-position-vertical-relative:page;margin-top:797.05pt;" coordsize="62801,288">
              <v:shape id="Shape 7063" style="position:absolute;width:62173;height:88;left:313;top:200;" coordsize="6217399,8801" path="m0,8801l6217399,0">
                <v:stroke weight="2pt" endcap="flat" joinstyle="round" on="true" color="#000000" opacity="0.231373"/>
                <v:fill on="false" color="#000000" opacity="0"/>
              </v:shape>
              <v:shape id="Shape 7064" style="position:absolute;width:62801;height:88;left:0;top:0;" coordsize="6280151,8890" path="m0,8890l6280151,0">
                <v:stroke weight="2pt" endcap="flat" joinstyle="round" on="true" color="#558ed5"/>
                <v:fill on="false" color="#000000" opacity="0"/>
              </v:shape>
            </v:group>
          </w:pict>
        </mc:Fallback>
      </mc:AlternateContent>
    </w:r>
    <w:r>
      <w:tab/>
    </w:r>
    <w:r>
      <w:rPr>
        <w:sz w:val="32"/>
      </w:rPr>
      <w:t xml:space="preserve">www.zmos.sk </w:t>
    </w:r>
    <w:r>
      <w:rPr>
        <w:sz w:val="32"/>
      </w:rPr>
      <w:tab/>
    </w: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sidR="00AF146E">
      <w:fldChar w:fldCharType="begin"/>
    </w:r>
    <w:r w:rsidR="00AF146E">
      <w:instrText xml:space="preserve"> NUMPAGES   \* MERGEFORMAT </w:instrText>
    </w:r>
    <w:r w:rsidR="00AF146E">
      <w:fldChar w:fldCharType="separate"/>
    </w:r>
    <w:r>
      <w:rPr>
        <w:b/>
        <w:sz w:val="20"/>
      </w:rPr>
      <w:t>6</w:t>
    </w:r>
    <w:r w:rsidR="00AF146E">
      <w:rPr>
        <w:b/>
        <w:sz w:val="20"/>
      </w:rPr>
      <w:fldChar w:fldCharType="end"/>
    </w:r>
    <w:r>
      <w:rPr>
        <w:sz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D264" w14:textId="77777777" w:rsidR="00E13E36" w:rsidRDefault="005C2F4B">
    <w:pPr>
      <w:tabs>
        <w:tab w:val="center" w:pos="1890"/>
        <w:tab w:val="center" w:pos="10304"/>
      </w:tabs>
      <w:spacing w:after="0"/>
    </w:pPr>
    <w:r>
      <w:tab/>
    </w:r>
    <w:r>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4C345" w14:textId="77777777" w:rsidR="00E13E36" w:rsidRDefault="005C2F4B">
    <w:pPr>
      <w:tabs>
        <w:tab w:val="center" w:pos="1890"/>
        <w:tab w:val="center" w:pos="10304"/>
      </w:tabs>
      <w:spacing w:after="0"/>
    </w:pPr>
    <w:r>
      <w:rPr>
        <w:noProof/>
      </w:rPr>
      <mc:AlternateContent>
        <mc:Choice Requires="wpg">
          <w:drawing>
            <wp:anchor distT="0" distB="0" distL="114300" distR="114300" simplePos="0" relativeHeight="251663360" behindDoc="0" locked="0" layoutInCell="1" allowOverlap="1" wp14:anchorId="3D2A7AE4" wp14:editId="21B95A0B">
              <wp:simplePos x="0" y="0"/>
              <wp:positionH relativeFrom="page">
                <wp:posOffset>725805</wp:posOffset>
              </wp:positionH>
              <wp:positionV relativeFrom="page">
                <wp:posOffset>10122535</wp:posOffset>
              </wp:positionV>
              <wp:extent cx="6280151" cy="28892"/>
              <wp:effectExtent l="0" t="0" r="0" b="0"/>
              <wp:wrapNone/>
              <wp:docPr id="6932" name="Group 6932"/>
              <wp:cNvGraphicFramePr/>
              <a:graphic xmlns:a="http://schemas.openxmlformats.org/drawingml/2006/main">
                <a:graphicData uri="http://schemas.microsoft.com/office/word/2010/wordprocessingGroup">
                  <wpg:wgp>
                    <wpg:cNvGrpSpPr/>
                    <wpg:grpSpPr>
                      <a:xfrm>
                        <a:off x="0" y="0"/>
                        <a:ext cx="6280151" cy="28892"/>
                        <a:chOff x="0" y="0"/>
                        <a:chExt cx="6280151" cy="28892"/>
                      </a:xfrm>
                    </wpg:grpSpPr>
                    <wps:wsp>
                      <wps:cNvPr id="6933" name="Shape 6933"/>
                      <wps:cNvSpPr/>
                      <wps:spPr>
                        <a:xfrm>
                          <a:off x="31382" y="20091"/>
                          <a:ext cx="6217399" cy="8801"/>
                        </a:xfrm>
                        <a:custGeom>
                          <a:avLst/>
                          <a:gdLst/>
                          <a:ahLst/>
                          <a:cxnLst/>
                          <a:rect l="0" t="0" r="0" b="0"/>
                          <a:pathLst>
                            <a:path w="6217399" h="8801">
                              <a:moveTo>
                                <a:pt x="0" y="8801"/>
                              </a:moveTo>
                              <a:lnTo>
                                <a:pt x="6217399" y="0"/>
                              </a:lnTo>
                            </a:path>
                          </a:pathLst>
                        </a:custGeom>
                        <a:ln w="25400" cap="flat">
                          <a:round/>
                        </a:ln>
                      </wps:spPr>
                      <wps:style>
                        <a:lnRef idx="1">
                          <a:srgbClr val="000000">
                            <a:alpha val="23137"/>
                          </a:srgbClr>
                        </a:lnRef>
                        <a:fillRef idx="0">
                          <a:srgbClr val="000000">
                            <a:alpha val="0"/>
                          </a:srgbClr>
                        </a:fillRef>
                        <a:effectRef idx="0">
                          <a:scrgbClr r="0" g="0" b="0"/>
                        </a:effectRef>
                        <a:fontRef idx="none"/>
                      </wps:style>
                      <wps:bodyPr/>
                    </wps:wsp>
                    <wps:wsp>
                      <wps:cNvPr id="6934" name="Shape 6934"/>
                      <wps:cNvSpPr/>
                      <wps:spPr>
                        <a:xfrm>
                          <a:off x="0" y="0"/>
                          <a:ext cx="6280151" cy="8890"/>
                        </a:xfrm>
                        <a:custGeom>
                          <a:avLst/>
                          <a:gdLst/>
                          <a:ahLst/>
                          <a:cxnLst/>
                          <a:rect l="0" t="0" r="0" b="0"/>
                          <a:pathLst>
                            <a:path w="6280151" h="8890">
                              <a:moveTo>
                                <a:pt x="0" y="8890"/>
                              </a:moveTo>
                              <a:lnTo>
                                <a:pt x="6280151" y="0"/>
                              </a:lnTo>
                            </a:path>
                          </a:pathLst>
                        </a:custGeom>
                        <a:ln w="25400" cap="flat">
                          <a:round/>
                        </a:ln>
                      </wps:spPr>
                      <wps:style>
                        <a:lnRef idx="1">
                          <a:srgbClr val="558ED5"/>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32" style="width:494.5pt;height:2.27496pt;position:absolute;z-index:18;mso-position-horizontal-relative:page;mso-position-horizontal:absolute;margin-left:57.15pt;mso-position-vertical-relative:page;margin-top:797.05pt;" coordsize="62801,288">
              <v:shape id="Shape 6933" style="position:absolute;width:62173;height:88;left:313;top:200;" coordsize="6217399,8801" path="m0,8801l6217399,0">
                <v:stroke weight="2pt" endcap="flat" joinstyle="round" on="true" color="#000000" opacity="0.231373"/>
                <v:fill on="false" color="#000000" opacity="0"/>
              </v:shape>
              <v:shape id="Shape 6934" style="position:absolute;width:62801;height:88;left:0;top:0;" coordsize="6280151,8890" path="m0,8890l6280151,0">
                <v:stroke weight="2pt" endcap="flat" joinstyle="round" on="true" color="#558ed5"/>
                <v:fill on="false" color="#000000" opacity="0"/>
              </v:shape>
            </v:group>
          </w:pict>
        </mc:Fallback>
      </mc:AlternateContent>
    </w:r>
    <w:r>
      <w:tab/>
    </w:r>
    <w:r>
      <w:rPr>
        <w:sz w:val="32"/>
      </w:rPr>
      <w:t xml:space="preserve">www.zmos.sk </w:t>
    </w:r>
    <w:r>
      <w:rPr>
        <w:sz w:val="32"/>
      </w:rPr>
      <w:tab/>
    </w:r>
    <w:r>
      <w:rPr>
        <w:sz w:val="20"/>
      </w:rPr>
      <w:t xml:space="preserve">Strana </w:t>
    </w:r>
    <w:r>
      <w:fldChar w:fldCharType="begin"/>
    </w:r>
    <w:r>
      <w:instrText xml:space="preserve"> PAGE   \* MERGEFORMAT </w:instrText>
    </w:r>
    <w:r>
      <w:fldChar w:fldCharType="separate"/>
    </w:r>
    <w:r>
      <w:rPr>
        <w:b/>
        <w:sz w:val="20"/>
      </w:rPr>
      <w:t>1</w:t>
    </w:r>
    <w:r>
      <w:rPr>
        <w:b/>
        <w:sz w:val="20"/>
      </w:rPr>
      <w:fldChar w:fldCharType="end"/>
    </w:r>
    <w:r>
      <w:rPr>
        <w:sz w:val="20"/>
      </w:rPr>
      <w:t xml:space="preserve"> z </w:t>
    </w:r>
    <w:r w:rsidR="00AF146E">
      <w:fldChar w:fldCharType="begin"/>
    </w:r>
    <w:r w:rsidR="00AF146E">
      <w:instrText xml:space="preserve"> NUMPAGES   \* MERGEFORMAT </w:instrText>
    </w:r>
    <w:r w:rsidR="00AF146E">
      <w:fldChar w:fldCharType="separate"/>
    </w:r>
    <w:r>
      <w:rPr>
        <w:b/>
        <w:sz w:val="20"/>
      </w:rPr>
      <w:t>6</w:t>
    </w:r>
    <w:r w:rsidR="00AF146E">
      <w:rPr>
        <w:b/>
        <w:sz w:val="20"/>
      </w:rPr>
      <w:fldChar w:fldCharType="end"/>
    </w:r>
    <w:r>
      <w:rPr>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81106" w14:textId="77777777" w:rsidR="00AF146E" w:rsidRDefault="00AF146E">
      <w:pPr>
        <w:spacing w:after="0" w:line="240" w:lineRule="auto"/>
      </w:pPr>
      <w:r>
        <w:separator/>
      </w:r>
    </w:p>
  </w:footnote>
  <w:footnote w:type="continuationSeparator" w:id="0">
    <w:p w14:paraId="44946E8E" w14:textId="77777777" w:rsidR="00AF146E" w:rsidRDefault="00AF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2569" w:tblpY="760"/>
      <w:tblOverlap w:val="never"/>
      <w:tblW w:w="9331" w:type="dxa"/>
      <w:tblInd w:w="0" w:type="dxa"/>
      <w:tblCellMar>
        <w:left w:w="143" w:type="dxa"/>
        <w:right w:w="115" w:type="dxa"/>
      </w:tblCellMar>
      <w:tblLook w:val="04A0" w:firstRow="1" w:lastRow="0" w:firstColumn="1" w:lastColumn="0" w:noHBand="0" w:noVBand="1"/>
    </w:tblPr>
    <w:tblGrid>
      <w:gridCol w:w="9331"/>
    </w:tblGrid>
    <w:tr w:rsidR="00E13E36" w14:paraId="01EDF041" w14:textId="77777777">
      <w:trPr>
        <w:trHeight w:val="869"/>
      </w:trPr>
      <w:tc>
        <w:tcPr>
          <w:tcW w:w="9331" w:type="dxa"/>
          <w:tcBorders>
            <w:top w:val="nil"/>
            <w:left w:val="nil"/>
            <w:bottom w:val="nil"/>
            <w:right w:val="nil"/>
          </w:tcBorders>
          <w:shd w:val="clear" w:color="auto" w:fill="3266CC"/>
          <w:vAlign w:val="bottom"/>
        </w:tcPr>
        <w:p w14:paraId="4A8C42DD" w14:textId="77777777" w:rsidR="00E13E36" w:rsidRDefault="005C2F4B">
          <w:pPr>
            <w:tabs>
              <w:tab w:val="center" w:pos="5918"/>
            </w:tabs>
          </w:pPr>
          <w:r>
            <w:rPr>
              <w:rFonts w:ascii="Arial" w:eastAsia="Arial" w:hAnsi="Arial" w:cs="Arial"/>
              <w:color w:val="FFFFFF"/>
              <w:sz w:val="70"/>
            </w:rPr>
            <w:t>KOMUNÁLNY</w:t>
          </w:r>
          <w:r>
            <w:rPr>
              <w:rFonts w:ascii="Arial" w:eastAsia="Arial" w:hAnsi="Arial" w:cs="Arial"/>
              <w:b/>
              <w:color w:val="EEECE1"/>
              <w:sz w:val="70"/>
              <w:vertAlign w:val="superscript"/>
            </w:rPr>
            <w:t xml:space="preserve"> </w:t>
          </w:r>
          <w:r>
            <w:rPr>
              <w:rFonts w:ascii="Arial" w:eastAsia="Arial" w:hAnsi="Arial" w:cs="Arial"/>
              <w:b/>
              <w:color w:val="EEECE1"/>
              <w:sz w:val="70"/>
              <w:vertAlign w:val="superscript"/>
            </w:rPr>
            <w:tab/>
          </w:r>
          <w:r>
            <w:rPr>
              <w:rFonts w:ascii="Arial" w:eastAsia="Arial" w:hAnsi="Arial" w:cs="Arial"/>
              <w:b/>
              <w:color w:val="FFFFFF"/>
              <w:sz w:val="70"/>
            </w:rPr>
            <w:t xml:space="preserve"> SPRAVODAJCA</w:t>
          </w:r>
          <w:r>
            <w:rPr>
              <w:rFonts w:ascii="Arial" w:eastAsia="Arial" w:hAnsi="Arial" w:cs="Arial"/>
              <w:b/>
              <w:color w:val="EEECE1"/>
              <w:sz w:val="70"/>
            </w:rPr>
            <w:t xml:space="preserve"> </w:t>
          </w:r>
        </w:p>
      </w:tc>
    </w:tr>
  </w:tbl>
  <w:p w14:paraId="2026AA88" w14:textId="77777777" w:rsidR="00E13E36" w:rsidRDefault="005C2F4B">
    <w:pPr>
      <w:tabs>
        <w:tab w:val="center" w:pos="3919"/>
        <w:tab w:val="center" w:pos="8182"/>
      </w:tabs>
      <w:spacing w:after="815"/>
    </w:pPr>
    <w:r>
      <w:rPr>
        <w:noProof/>
      </w:rPr>
      <w:drawing>
        <wp:anchor distT="0" distB="0" distL="114300" distR="114300" simplePos="0" relativeHeight="251658240" behindDoc="0" locked="0" layoutInCell="1" allowOverlap="0" wp14:anchorId="3DC4602E" wp14:editId="31AAA179">
          <wp:simplePos x="0" y="0"/>
          <wp:positionH relativeFrom="page">
            <wp:posOffset>287020</wp:posOffset>
          </wp:positionH>
          <wp:positionV relativeFrom="page">
            <wp:posOffset>127635</wp:posOffset>
          </wp:positionV>
          <wp:extent cx="1172845" cy="117665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172845" cy="1176655"/>
                  </a:xfrm>
                  <a:prstGeom prst="rect">
                    <a:avLst/>
                  </a:prstGeom>
                </pic:spPr>
              </pic:pic>
            </a:graphicData>
          </a:graphic>
        </wp:anchor>
      </w:drawing>
    </w:r>
    <w:r>
      <w:tab/>
    </w:r>
    <w:r>
      <w:rPr>
        <w:b/>
        <w:color w:val="EEECE1"/>
        <w:sz w:val="40"/>
      </w:rPr>
      <w:t xml:space="preserve">                      </w:t>
    </w:r>
    <w:r>
      <w:rPr>
        <w:rFonts w:ascii="Arial" w:eastAsia="Arial" w:hAnsi="Arial" w:cs="Arial"/>
        <w:b/>
        <w:color w:val="EEECE1"/>
        <w:sz w:val="40"/>
      </w:rPr>
      <w:t xml:space="preserve">           </w:t>
    </w:r>
    <w:r>
      <w:rPr>
        <w:rFonts w:ascii="Arial" w:eastAsia="Arial" w:hAnsi="Arial" w:cs="Arial"/>
        <w:sz w:val="36"/>
      </w:rPr>
      <w:t>ZDRUŽENIE MIEST A</w:t>
    </w:r>
    <w:r>
      <w:rPr>
        <w:rFonts w:ascii="Arial" w:eastAsia="Arial" w:hAnsi="Arial" w:cs="Arial"/>
        <w:b/>
        <w:color w:val="EEECE1"/>
        <w:sz w:val="56"/>
      </w:rPr>
      <w:t xml:space="preserve"> </w:t>
    </w:r>
    <w:r>
      <w:rPr>
        <w:rFonts w:ascii="Arial" w:eastAsia="Arial" w:hAnsi="Arial" w:cs="Arial"/>
        <w:b/>
        <w:color w:val="EEECE1"/>
        <w:sz w:val="56"/>
      </w:rPr>
      <w:tab/>
    </w:r>
    <w:r>
      <w:rPr>
        <w:rFonts w:ascii="Arial" w:eastAsia="Arial" w:hAnsi="Arial" w:cs="Arial"/>
        <w:sz w:val="36"/>
      </w:rPr>
      <w:t xml:space="preserve"> OBCÍ SLOVENSKA</w:t>
    </w:r>
    <w:r>
      <w:rPr>
        <w:rFonts w:ascii="Arial" w:eastAsia="Arial" w:hAnsi="Arial" w:cs="Arial"/>
        <w:sz w:val="20"/>
      </w:rPr>
      <w:t xml:space="preserve"> </w:t>
    </w:r>
  </w:p>
  <w:p w14:paraId="0668F0BD" w14:textId="77777777" w:rsidR="00E13E36" w:rsidRDefault="005C2F4B">
    <w:pPr>
      <w:tabs>
        <w:tab w:val="center" w:pos="4178"/>
        <w:tab w:val="center" w:pos="10385"/>
      </w:tabs>
      <w:spacing w:after="0"/>
    </w:pPr>
    <w:r>
      <w:tab/>
    </w:r>
    <w:r>
      <w:rPr>
        <w:rFonts w:ascii="Gabriola" w:eastAsia="Gabriola" w:hAnsi="Gabriola" w:cs="Gabriola"/>
        <w:color w:val="C00000"/>
        <w:sz w:val="46"/>
      </w:rPr>
      <w:t xml:space="preserve">pre členské  mestá a obce </w:t>
    </w:r>
    <w:r>
      <w:rPr>
        <w:rFonts w:ascii="Gabriola" w:eastAsia="Gabriola" w:hAnsi="Gabriola" w:cs="Gabriola"/>
        <w:color w:val="C00000"/>
        <w:sz w:val="46"/>
      </w:rPr>
      <w:tab/>
    </w:r>
    <w:r>
      <w:rPr>
        <w:rFonts w:ascii="Arial" w:eastAsia="Arial" w:hAnsi="Arial" w:cs="Arial"/>
        <w:b/>
        <w:color w:val="3266CC"/>
        <w:sz w:val="40"/>
      </w:rPr>
      <w:t>3/2020</w:t>
    </w:r>
    <w:r>
      <w:rPr>
        <w:b/>
        <w:color w:val="3266CC"/>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4AE6" w14:textId="77777777" w:rsidR="00E13E36" w:rsidRDefault="00E13E36" w:rsidP="00CA1204">
    <w:pPr>
      <w:tabs>
        <w:tab w:val="center" w:pos="3919"/>
        <w:tab w:val="center" w:pos="8182"/>
      </w:tabs>
      <w:spacing w:after="8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2569" w:tblpY="760"/>
      <w:tblOverlap w:val="never"/>
      <w:tblW w:w="9331" w:type="dxa"/>
      <w:tblInd w:w="0" w:type="dxa"/>
      <w:tblCellMar>
        <w:left w:w="143" w:type="dxa"/>
        <w:right w:w="115" w:type="dxa"/>
      </w:tblCellMar>
      <w:tblLook w:val="04A0" w:firstRow="1" w:lastRow="0" w:firstColumn="1" w:lastColumn="0" w:noHBand="0" w:noVBand="1"/>
    </w:tblPr>
    <w:tblGrid>
      <w:gridCol w:w="9331"/>
    </w:tblGrid>
    <w:tr w:rsidR="00E13E36" w14:paraId="26A82176" w14:textId="77777777">
      <w:trPr>
        <w:trHeight w:val="869"/>
      </w:trPr>
      <w:tc>
        <w:tcPr>
          <w:tcW w:w="9331" w:type="dxa"/>
          <w:tcBorders>
            <w:top w:val="nil"/>
            <w:left w:val="nil"/>
            <w:bottom w:val="nil"/>
            <w:right w:val="nil"/>
          </w:tcBorders>
          <w:shd w:val="clear" w:color="auto" w:fill="3266CC"/>
          <w:vAlign w:val="bottom"/>
        </w:tcPr>
        <w:p w14:paraId="38015860" w14:textId="77777777" w:rsidR="00E13E36" w:rsidRDefault="005C2F4B">
          <w:pPr>
            <w:tabs>
              <w:tab w:val="center" w:pos="5918"/>
            </w:tabs>
          </w:pPr>
          <w:r>
            <w:rPr>
              <w:rFonts w:ascii="Arial" w:eastAsia="Arial" w:hAnsi="Arial" w:cs="Arial"/>
              <w:color w:val="FFFFFF"/>
              <w:sz w:val="70"/>
            </w:rPr>
            <w:t>KOMUNÁLNY</w:t>
          </w:r>
          <w:r>
            <w:rPr>
              <w:rFonts w:ascii="Arial" w:eastAsia="Arial" w:hAnsi="Arial" w:cs="Arial"/>
              <w:b/>
              <w:color w:val="EEECE1"/>
              <w:sz w:val="70"/>
              <w:vertAlign w:val="superscript"/>
            </w:rPr>
            <w:t xml:space="preserve"> </w:t>
          </w:r>
          <w:r>
            <w:rPr>
              <w:rFonts w:ascii="Arial" w:eastAsia="Arial" w:hAnsi="Arial" w:cs="Arial"/>
              <w:b/>
              <w:color w:val="EEECE1"/>
              <w:sz w:val="70"/>
              <w:vertAlign w:val="superscript"/>
            </w:rPr>
            <w:tab/>
          </w:r>
          <w:r>
            <w:rPr>
              <w:rFonts w:ascii="Arial" w:eastAsia="Arial" w:hAnsi="Arial" w:cs="Arial"/>
              <w:b/>
              <w:color w:val="FFFFFF"/>
              <w:sz w:val="70"/>
            </w:rPr>
            <w:t xml:space="preserve"> SPRAVODAJCA</w:t>
          </w:r>
          <w:r>
            <w:rPr>
              <w:rFonts w:ascii="Arial" w:eastAsia="Arial" w:hAnsi="Arial" w:cs="Arial"/>
              <w:b/>
              <w:color w:val="EEECE1"/>
              <w:sz w:val="70"/>
            </w:rPr>
            <w:t xml:space="preserve"> </w:t>
          </w:r>
        </w:p>
      </w:tc>
    </w:tr>
  </w:tbl>
  <w:p w14:paraId="1B186364" w14:textId="77777777" w:rsidR="00E13E36" w:rsidRDefault="005C2F4B">
    <w:pPr>
      <w:tabs>
        <w:tab w:val="center" w:pos="3919"/>
        <w:tab w:val="center" w:pos="8182"/>
      </w:tabs>
      <w:spacing w:after="815"/>
    </w:pPr>
    <w:r>
      <w:rPr>
        <w:noProof/>
      </w:rPr>
      <w:drawing>
        <wp:anchor distT="0" distB="0" distL="114300" distR="114300" simplePos="0" relativeHeight="251660288" behindDoc="0" locked="0" layoutInCell="1" allowOverlap="0" wp14:anchorId="6537B443" wp14:editId="250B4A34">
          <wp:simplePos x="0" y="0"/>
          <wp:positionH relativeFrom="page">
            <wp:posOffset>287020</wp:posOffset>
          </wp:positionH>
          <wp:positionV relativeFrom="page">
            <wp:posOffset>127635</wp:posOffset>
          </wp:positionV>
          <wp:extent cx="1172845" cy="1176655"/>
          <wp:effectExtent l="0" t="0" r="0" b="0"/>
          <wp:wrapSquare wrapText="bothSides"/>
          <wp:docPr id="2"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172845" cy="1176655"/>
                  </a:xfrm>
                  <a:prstGeom prst="rect">
                    <a:avLst/>
                  </a:prstGeom>
                </pic:spPr>
              </pic:pic>
            </a:graphicData>
          </a:graphic>
        </wp:anchor>
      </w:drawing>
    </w:r>
    <w:r>
      <w:tab/>
    </w:r>
    <w:r>
      <w:rPr>
        <w:b/>
        <w:color w:val="EEECE1"/>
        <w:sz w:val="40"/>
      </w:rPr>
      <w:t xml:space="preserve">                      </w:t>
    </w:r>
    <w:r>
      <w:rPr>
        <w:rFonts w:ascii="Arial" w:eastAsia="Arial" w:hAnsi="Arial" w:cs="Arial"/>
        <w:b/>
        <w:color w:val="EEECE1"/>
        <w:sz w:val="40"/>
      </w:rPr>
      <w:t xml:space="preserve">           </w:t>
    </w:r>
    <w:r>
      <w:rPr>
        <w:rFonts w:ascii="Arial" w:eastAsia="Arial" w:hAnsi="Arial" w:cs="Arial"/>
        <w:sz w:val="36"/>
      </w:rPr>
      <w:t>ZDRUŽENIE MIEST A</w:t>
    </w:r>
    <w:r>
      <w:rPr>
        <w:rFonts w:ascii="Arial" w:eastAsia="Arial" w:hAnsi="Arial" w:cs="Arial"/>
        <w:b/>
        <w:color w:val="EEECE1"/>
        <w:sz w:val="56"/>
      </w:rPr>
      <w:t xml:space="preserve"> </w:t>
    </w:r>
    <w:r>
      <w:rPr>
        <w:rFonts w:ascii="Arial" w:eastAsia="Arial" w:hAnsi="Arial" w:cs="Arial"/>
        <w:b/>
        <w:color w:val="EEECE1"/>
        <w:sz w:val="56"/>
      </w:rPr>
      <w:tab/>
    </w:r>
    <w:r>
      <w:rPr>
        <w:rFonts w:ascii="Arial" w:eastAsia="Arial" w:hAnsi="Arial" w:cs="Arial"/>
        <w:sz w:val="36"/>
      </w:rPr>
      <w:t xml:space="preserve"> OBCÍ SLOVENSKA</w:t>
    </w:r>
    <w:r>
      <w:rPr>
        <w:rFonts w:ascii="Arial" w:eastAsia="Arial" w:hAnsi="Arial" w:cs="Arial"/>
        <w:sz w:val="20"/>
      </w:rPr>
      <w:t xml:space="preserve"> </w:t>
    </w:r>
  </w:p>
  <w:p w14:paraId="11A9BDA9" w14:textId="77777777" w:rsidR="00E13E36" w:rsidRDefault="005C2F4B">
    <w:pPr>
      <w:tabs>
        <w:tab w:val="center" w:pos="4178"/>
        <w:tab w:val="center" w:pos="10385"/>
      </w:tabs>
      <w:spacing w:after="0"/>
    </w:pPr>
    <w:r>
      <w:tab/>
    </w:r>
    <w:r>
      <w:rPr>
        <w:rFonts w:ascii="Gabriola" w:eastAsia="Gabriola" w:hAnsi="Gabriola" w:cs="Gabriola"/>
        <w:color w:val="C00000"/>
        <w:sz w:val="46"/>
      </w:rPr>
      <w:t xml:space="preserve">pre členské  mestá a obce </w:t>
    </w:r>
    <w:r>
      <w:rPr>
        <w:rFonts w:ascii="Gabriola" w:eastAsia="Gabriola" w:hAnsi="Gabriola" w:cs="Gabriola"/>
        <w:color w:val="C00000"/>
        <w:sz w:val="46"/>
      </w:rPr>
      <w:tab/>
    </w:r>
    <w:r>
      <w:rPr>
        <w:rFonts w:ascii="Arial" w:eastAsia="Arial" w:hAnsi="Arial" w:cs="Arial"/>
        <w:b/>
        <w:color w:val="3266CC"/>
        <w:sz w:val="40"/>
      </w:rPr>
      <w:t>3/2020</w:t>
    </w:r>
    <w:r>
      <w:rPr>
        <w:b/>
        <w:color w:val="3266CC"/>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B6B68"/>
    <w:multiLevelType w:val="hybridMultilevel"/>
    <w:tmpl w:val="9A2E49DE"/>
    <w:lvl w:ilvl="0" w:tplc="3D9C11B2">
      <w:start w:val="5"/>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EE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A09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ACD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1C6E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CD8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649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4B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6B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D2713B"/>
    <w:multiLevelType w:val="hybridMultilevel"/>
    <w:tmpl w:val="6884F686"/>
    <w:lvl w:ilvl="0" w:tplc="3E7A37DA">
      <w:start w:val="4"/>
      <w:numFmt w:val="lowerLetter"/>
      <w:lvlText w:val="%1)"/>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889E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9059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8418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48B2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C88A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D0CA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E818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98F8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0855DD"/>
    <w:multiLevelType w:val="hybridMultilevel"/>
    <w:tmpl w:val="ACCCAA60"/>
    <w:lvl w:ilvl="0" w:tplc="B4023E9C">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52202BF2">
      <w:start w:val="1"/>
      <w:numFmt w:val="bullet"/>
      <w:lvlText w:val="•"/>
      <w:lvlJc w:val="left"/>
      <w:pPr>
        <w:ind w:left="16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5C3E1BFA">
      <w:start w:val="1"/>
      <w:numFmt w:val="bullet"/>
      <w:lvlText w:val="▪"/>
      <w:lvlJc w:val="left"/>
      <w:pPr>
        <w:ind w:left="14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9760DC82">
      <w:start w:val="1"/>
      <w:numFmt w:val="bullet"/>
      <w:lvlText w:val="•"/>
      <w:lvlJc w:val="left"/>
      <w:pPr>
        <w:ind w:left="21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DF963478">
      <w:start w:val="1"/>
      <w:numFmt w:val="bullet"/>
      <w:lvlText w:val="o"/>
      <w:lvlJc w:val="left"/>
      <w:pPr>
        <w:ind w:left="288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61232F6">
      <w:start w:val="1"/>
      <w:numFmt w:val="bullet"/>
      <w:lvlText w:val="▪"/>
      <w:lvlJc w:val="left"/>
      <w:pPr>
        <w:ind w:left="36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7466F6F2">
      <w:start w:val="1"/>
      <w:numFmt w:val="bullet"/>
      <w:lvlText w:val="•"/>
      <w:lvlJc w:val="left"/>
      <w:pPr>
        <w:ind w:left="43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B765150">
      <w:start w:val="1"/>
      <w:numFmt w:val="bullet"/>
      <w:lvlText w:val="o"/>
      <w:lvlJc w:val="left"/>
      <w:pPr>
        <w:ind w:left="504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CB24CAE2">
      <w:start w:val="1"/>
      <w:numFmt w:val="bullet"/>
      <w:lvlText w:val="▪"/>
      <w:lvlJc w:val="left"/>
      <w:pPr>
        <w:ind w:left="576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 w15:restartNumberingAfterBreak="0">
    <w:nsid w:val="54CB29EE"/>
    <w:multiLevelType w:val="hybridMultilevel"/>
    <w:tmpl w:val="7A404CD2"/>
    <w:lvl w:ilvl="0" w:tplc="8B64E00E">
      <w:start w:val="1"/>
      <w:numFmt w:val="decimal"/>
      <w:lvlText w:val="(%1)"/>
      <w:lvlJc w:val="left"/>
      <w:pPr>
        <w:ind w:left="1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0763A">
      <w:start w:val="1"/>
      <w:numFmt w:val="lowerLetter"/>
      <w:lvlText w:val="%2)"/>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2A8FCE">
      <w:start w:val="4"/>
      <w:numFmt w:val="chicago"/>
      <w:lvlText w:val="(%3"/>
      <w:lvlJc w:val="left"/>
      <w:pPr>
        <w:ind w:left="1817"/>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3" w:tplc="3EEA0836">
      <w:start w:val="1"/>
      <w:numFmt w:val="decimal"/>
      <w:lvlText w:val="%4"/>
      <w:lvlJc w:val="left"/>
      <w:pPr>
        <w:ind w:left="172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4" w:tplc="6BBEE3E2">
      <w:start w:val="1"/>
      <w:numFmt w:val="lowerLetter"/>
      <w:lvlText w:val="%5"/>
      <w:lvlJc w:val="left"/>
      <w:pPr>
        <w:ind w:left="244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5" w:tplc="F8988A6A">
      <w:start w:val="1"/>
      <w:numFmt w:val="lowerRoman"/>
      <w:lvlText w:val="%6"/>
      <w:lvlJc w:val="left"/>
      <w:pPr>
        <w:ind w:left="316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6" w:tplc="A19A2CF6">
      <w:start w:val="1"/>
      <w:numFmt w:val="decimal"/>
      <w:lvlText w:val="%7"/>
      <w:lvlJc w:val="left"/>
      <w:pPr>
        <w:ind w:left="388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7" w:tplc="247C24AA">
      <w:start w:val="1"/>
      <w:numFmt w:val="lowerLetter"/>
      <w:lvlText w:val="%8"/>
      <w:lvlJc w:val="left"/>
      <w:pPr>
        <w:ind w:left="460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lvl w:ilvl="8" w:tplc="F38AB22A">
      <w:start w:val="1"/>
      <w:numFmt w:val="lowerRoman"/>
      <w:lvlText w:val="%9"/>
      <w:lvlJc w:val="left"/>
      <w:pPr>
        <w:ind w:left="5324"/>
      </w:pPr>
      <w:rPr>
        <w:rFonts w:ascii="Times New Roman" w:eastAsia="Times New Roman" w:hAnsi="Times New Roman" w:cs="Times New Roman"/>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74B920FE"/>
    <w:multiLevelType w:val="hybridMultilevel"/>
    <w:tmpl w:val="BCDE1928"/>
    <w:lvl w:ilvl="0" w:tplc="7E90C9D6">
      <w:start w:val="1"/>
      <w:numFmt w:val="bullet"/>
      <w:lvlText w:val="•"/>
      <w:lvlJc w:val="left"/>
      <w:pPr>
        <w:ind w:left="168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95F089F8">
      <w:start w:val="1"/>
      <w:numFmt w:val="bullet"/>
      <w:lvlText w:val="o"/>
      <w:lvlJc w:val="left"/>
      <w:pPr>
        <w:ind w:left="115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6706CAB0">
      <w:start w:val="1"/>
      <w:numFmt w:val="bullet"/>
      <w:lvlText w:val="▪"/>
      <w:lvlJc w:val="left"/>
      <w:pPr>
        <w:ind w:left="187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738A10A8">
      <w:start w:val="1"/>
      <w:numFmt w:val="bullet"/>
      <w:lvlText w:val="•"/>
      <w:lvlJc w:val="left"/>
      <w:pPr>
        <w:ind w:left="259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49F21A22">
      <w:start w:val="1"/>
      <w:numFmt w:val="bullet"/>
      <w:lvlText w:val="o"/>
      <w:lvlJc w:val="left"/>
      <w:pPr>
        <w:ind w:left="331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DB0841AA">
      <w:start w:val="1"/>
      <w:numFmt w:val="bullet"/>
      <w:lvlText w:val="▪"/>
      <w:lvlJc w:val="left"/>
      <w:pPr>
        <w:ind w:left="403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A2C29F06">
      <w:start w:val="1"/>
      <w:numFmt w:val="bullet"/>
      <w:lvlText w:val="•"/>
      <w:lvlJc w:val="left"/>
      <w:pPr>
        <w:ind w:left="4757"/>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2B9A1A44">
      <w:start w:val="1"/>
      <w:numFmt w:val="bullet"/>
      <w:lvlText w:val="o"/>
      <w:lvlJc w:val="left"/>
      <w:pPr>
        <w:ind w:left="547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FFB8F93E">
      <w:start w:val="1"/>
      <w:numFmt w:val="bullet"/>
      <w:lvlText w:val="▪"/>
      <w:lvlJc w:val="left"/>
      <w:pPr>
        <w:ind w:left="6197"/>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764D2FDC"/>
    <w:multiLevelType w:val="hybridMultilevel"/>
    <w:tmpl w:val="9CA4EE64"/>
    <w:lvl w:ilvl="0" w:tplc="0F5CB154">
      <w:start w:val="22"/>
      <w:numFmt w:val="decimal"/>
      <w:lvlText w:val="%1)"/>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814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EC7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0F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A3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85B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0C8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AF9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A4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36"/>
    <w:rsid w:val="00007C0A"/>
    <w:rsid w:val="0012133E"/>
    <w:rsid w:val="003C06C7"/>
    <w:rsid w:val="00411D7A"/>
    <w:rsid w:val="004D1A03"/>
    <w:rsid w:val="005C2F4B"/>
    <w:rsid w:val="00AF146E"/>
    <w:rsid w:val="00CA1204"/>
    <w:rsid w:val="00E13E36"/>
    <w:rsid w:val="00E14947"/>
    <w:rsid w:val="00E56B92"/>
    <w:rsid w:val="00EC51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7538"/>
  <w15:docId w15:val="{A028ED18-9199-4151-A722-E091E0E0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qFormat/>
    <w:pPr>
      <w:keepNext/>
      <w:keepLines/>
      <w:pBdr>
        <w:top w:val="single" w:sz="18" w:space="0" w:color="000000"/>
        <w:bottom w:val="single" w:sz="18" w:space="0" w:color="000000"/>
      </w:pBdr>
      <w:shd w:val="clear" w:color="auto" w:fill="3266CC"/>
      <w:spacing w:after="329"/>
      <w:ind w:left="272"/>
      <w:jc w:val="center"/>
      <w:outlineLvl w:val="0"/>
    </w:pPr>
    <w:rPr>
      <w:rFonts w:ascii="Arial" w:eastAsia="Arial" w:hAnsi="Arial" w:cs="Arial"/>
      <w:b/>
      <w:color w:val="FFFFFF"/>
      <w:sz w:val="56"/>
    </w:rPr>
  </w:style>
  <w:style w:type="paragraph" w:styleId="Nadpis2">
    <w:name w:val="heading 2"/>
    <w:next w:val="Normlny"/>
    <w:link w:val="Nadpis2Char"/>
    <w:uiPriority w:val="9"/>
    <w:unhideWhenUsed/>
    <w:qFormat/>
    <w:pPr>
      <w:keepNext/>
      <w:keepLines/>
      <w:spacing w:after="159"/>
      <w:ind w:left="277"/>
      <w:jc w:val="center"/>
      <w:outlineLvl w:val="1"/>
    </w:pPr>
    <w:rPr>
      <w:rFonts w:ascii="Calibri" w:eastAsia="Calibri" w:hAnsi="Calibri" w:cs="Calibri"/>
      <w:b/>
      <w:color w:val="FF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FF0000"/>
      <w:sz w:val="28"/>
    </w:rPr>
  </w:style>
  <w:style w:type="character" w:customStyle="1" w:styleId="Nadpis1Char">
    <w:name w:val="Nadpis 1 Char"/>
    <w:link w:val="Nadpis1"/>
    <w:rPr>
      <w:rFonts w:ascii="Arial" w:eastAsia="Arial" w:hAnsi="Arial" w:cs="Arial"/>
      <w:b/>
      <w:color w:val="FFFFFF"/>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adpis11">
    <w:name w:val="Nadpis 11"/>
    <w:basedOn w:val="Normlny"/>
    <w:uiPriority w:val="1"/>
    <w:qFormat/>
    <w:rsid w:val="00411D7A"/>
    <w:pPr>
      <w:widowControl w:val="0"/>
      <w:spacing w:after="0" w:line="240" w:lineRule="auto"/>
      <w:ind w:left="84"/>
      <w:outlineLvl w:val="1"/>
    </w:pPr>
    <w:rPr>
      <w:rFonts w:ascii="Arial" w:eastAsia="Arial" w:hAnsi="Arial" w:cstheme="minorBidi"/>
      <w:color w:val="auto"/>
      <w:sz w:val="28"/>
      <w:szCs w:val="28"/>
      <w:lang w:val="en-US" w:eastAsia="en-US"/>
    </w:rPr>
  </w:style>
  <w:style w:type="paragraph" w:customStyle="1" w:styleId="Nadpis31">
    <w:name w:val="Nadpis 31"/>
    <w:basedOn w:val="Normlny"/>
    <w:uiPriority w:val="1"/>
    <w:qFormat/>
    <w:rsid w:val="00411D7A"/>
    <w:pPr>
      <w:widowControl w:val="0"/>
      <w:spacing w:after="0" w:line="240" w:lineRule="auto"/>
      <w:outlineLvl w:val="3"/>
    </w:pPr>
    <w:rPr>
      <w:rFonts w:ascii="Arial" w:eastAsia="Arial" w:hAnsi="Arial" w:cstheme="minorBidi"/>
      <w:color w:val="auto"/>
      <w:sz w:val="23"/>
      <w:szCs w:val="23"/>
      <w:lang w:val="en-US" w:eastAsia="en-US"/>
    </w:rPr>
  </w:style>
  <w:style w:type="paragraph" w:customStyle="1" w:styleId="Nadpis41">
    <w:name w:val="Nadpis 41"/>
    <w:basedOn w:val="Normlny"/>
    <w:uiPriority w:val="1"/>
    <w:qFormat/>
    <w:rsid w:val="00007C0A"/>
    <w:pPr>
      <w:widowControl w:val="0"/>
      <w:spacing w:after="0" w:line="240" w:lineRule="auto"/>
      <w:ind w:left="522"/>
      <w:outlineLvl w:val="4"/>
    </w:pPr>
    <w:rPr>
      <w:rFonts w:ascii="Arial" w:eastAsia="Arial" w:hAnsi="Arial"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0/369/20190201" TargetMode="External"/><Relationship Id="rId13" Type="http://schemas.openxmlformats.org/officeDocument/2006/relationships/hyperlink" Target="https://www.slov-lex.sk/pravne-predpisy/SK/ZZ/1990/369/2019020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slov-lex.sk/pravne-predpisy/SK/ZZ/1990/369/20190201" TargetMode="External"/><Relationship Id="rId12" Type="http://schemas.openxmlformats.org/officeDocument/2006/relationships/hyperlink" Target="https://www.slov-lex.sk/pravne-predpisy/SK/ZZ/1990/369/201902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lov-lex.sk/pravne-predpisy/SK/ZZ/1991/138/2019090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1990/369/201902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lov-lex.sk/pravne-predpisy/SK/ZZ/1991/138/20190901" TargetMode="External"/><Relationship Id="rId23" Type="http://schemas.openxmlformats.org/officeDocument/2006/relationships/fontTable" Target="fontTable.xml"/><Relationship Id="rId10" Type="http://schemas.openxmlformats.org/officeDocument/2006/relationships/hyperlink" Target="https://www.slov-lex.sk/pravne-predpisy/SK/ZZ/1990/369/201902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1990/369/20190201" TargetMode="External"/><Relationship Id="rId14" Type="http://schemas.openxmlformats.org/officeDocument/2006/relationships/hyperlink" Target="https://www.slov-lex.sk/pravne-predpisy/SK/ZZ/1990/369/20190201"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1536</Words>
  <Characters>8758</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Jozef Sotolář</dc:creator>
  <cp:keywords/>
  <cp:lastModifiedBy>Dušan Málik</cp:lastModifiedBy>
  <cp:revision>6</cp:revision>
  <dcterms:created xsi:type="dcterms:W3CDTF">2020-06-30T11:10:00Z</dcterms:created>
  <dcterms:modified xsi:type="dcterms:W3CDTF">2020-08-13T06:31:00Z</dcterms:modified>
</cp:coreProperties>
</file>